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94" w:rsidRPr="000A4CEA" w:rsidRDefault="00575D94" w:rsidP="00575D94">
      <w:pPr>
        <w:shd w:val="clear" w:color="auto" w:fill="FFFFFF"/>
        <w:spacing w:after="420" w:line="405" w:lineRule="atLeast"/>
        <w:outlineLvl w:val="1"/>
        <w:rPr>
          <w:rFonts w:ascii="Arial" w:eastAsia="Times New Roman" w:hAnsi="Arial" w:cs="Arial"/>
          <w:color w:val="333333"/>
          <w:sz w:val="27"/>
          <w:szCs w:val="27"/>
          <w:lang w:eastAsia="ru-RU"/>
        </w:rPr>
      </w:pPr>
      <w:r w:rsidRPr="000A4CEA">
        <w:rPr>
          <w:rFonts w:ascii="Arial" w:eastAsia="Times New Roman" w:hAnsi="Arial" w:cs="Arial"/>
          <w:color w:val="333333"/>
          <w:sz w:val="27"/>
          <w:szCs w:val="27"/>
          <w:lang w:eastAsia="ru-RU"/>
        </w:rPr>
        <w:t>Кто должен ….?</w:t>
      </w:r>
    </w:p>
    <w:p w:rsidR="00575D94" w:rsidRPr="000A4CEA" w:rsidRDefault="00575D94" w:rsidP="00575D94">
      <w:pPr>
        <w:shd w:val="clear" w:color="auto" w:fill="FFFFFF"/>
        <w:spacing w:after="300" w:line="240" w:lineRule="auto"/>
        <w:rPr>
          <w:rFonts w:ascii="Arial" w:eastAsia="Times New Roman" w:hAnsi="Arial" w:cs="Arial"/>
          <w:color w:val="000000"/>
          <w:sz w:val="21"/>
          <w:szCs w:val="21"/>
          <w:lang w:eastAsia="ru-RU"/>
        </w:rPr>
      </w:pPr>
      <w:r w:rsidRPr="000A4CEA">
        <w:rPr>
          <w:rFonts w:ascii="Arial" w:eastAsia="Times New Roman" w:hAnsi="Arial" w:cs="Arial"/>
          <w:color w:val="000000"/>
          <w:sz w:val="21"/>
          <w:szCs w:val="21"/>
          <w:lang w:eastAsia="ru-RU"/>
        </w:rPr>
        <w:t xml:space="preserve">Кто должен следить за тем, чтобы в МКД, собственники помещений в которых формируют фонд капитального ремонта на специальном счете, </w:t>
      </w:r>
      <w:r>
        <w:rPr>
          <w:rFonts w:ascii="Arial" w:eastAsia="Times New Roman" w:hAnsi="Arial" w:cs="Arial"/>
          <w:color w:val="000000"/>
          <w:sz w:val="21"/>
          <w:szCs w:val="21"/>
          <w:lang w:eastAsia="ru-RU"/>
        </w:rPr>
        <w:t xml:space="preserve">ремонт </w:t>
      </w:r>
      <w:r w:rsidRPr="000A4CEA">
        <w:rPr>
          <w:rFonts w:ascii="Arial" w:eastAsia="Times New Roman" w:hAnsi="Arial" w:cs="Arial"/>
          <w:color w:val="000000"/>
          <w:sz w:val="21"/>
          <w:szCs w:val="21"/>
          <w:lang w:eastAsia="ru-RU"/>
        </w:rPr>
        <w:t>был проведен в сроки, установленные региональной программой?</w:t>
      </w:r>
    </w:p>
    <w:p w:rsidR="00575D94" w:rsidRPr="000A4CEA" w:rsidRDefault="00575D94" w:rsidP="00575D94">
      <w:pPr>
        <w:shd w:val="clear" w:color="auto" w:fill="FFFFFF"/>
        <w:spacing w:after="30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1">
            <wp:simplePos x="0" y="0"/>
            <wp:positionH relativeFrom="column">
              <wp:posOffset>4728210</wp:posOffset>
            </wp:positionH>
            <wp:positionV relativeFrom="paragraph">
              <wp:posOffset>3050540</wp:posOffset>
            </wp:positionV>
            <wp:extent cx="1666875" cy="1114425"/>
            <wp:effectExtent l="0" t="0" r="9525" b="9525"/>
            <wp:wrapSquare wrapText="bothSides"/>
            <wp:docPr id="4" name="Рисунок 4" descr="yu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yu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1676400" cy="1676400"/>
            <wp:effectExtent l="0" t="0" r="0" b="0"/>
            <wp:wrapSquare wrapText="bothSides"/>
            <wp:docPr id="3" name="Рисунок 3" descr="y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y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A4CEA">
        <w:rPr>
          <w:rFonts w:ascii="Arial" w:eastAsia="Times New Roman" w:hAnsi="Arial" w:cs="Arial"/>
          <w:color w:val="000000"/>
          <w:sz w:val="21"/>
          <w:szCs w:val="21"/>
          <w:lang w:eastAsia="ru-RU"/>
        </w:rPr>
        <w:t>Органы государственной власти 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(ч. 6.1, ст. 2 ЖК РФ).</w:t>
      </w:r>
      <w:proofErr w:type="gramEnd"/>
      <w:r w:rsidRPr="000A4CEA">
        <w:rPr>
          <w:rFonts w:ascii="Arial" w:eastAsia="Times New Roman" w:hAnsi="Arial" w:cs="Arial"/>
          <w:color w:val="000000"/>
          <w:sz w:val="21"/>
          <w:szCs w:val="21"/>
          <w:lang w:eastAsia="ru-RU"/>
        </w:rPr>
        <w:br/>
        <w:t>В соответствии с ч. 1 ст. 168 ЖК РФ региональной программой капитального ремонта общего имущества в МКД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w:t>
      </w:r>
      <w:r w:rsidRPr="000A4CEA">
        <w:rPr>
          <w:rFonts w:ascii="Arial" w:eastAsia="Times New Roman" w:hAnsi="Arial" w:cs="Arial"/>
          <w:color w:val="000000"/>
          <w:sz w:val="21"/>
          <w:szCs w:val="21"/>
          <w:lang w:eastAsia="ru-RU"/>
        </w:rPr>
        <w:br/>
        <w:t>Обязанность проследить за тем, чтобы капитальный ремонт в МКД, собственники помещений в котором формируют фонд капитального ремонта на специальном счете, был проведен в сроки, установленные региональной программой, возложена на орган местного самоуправления.</w:t>
      </w:r>
      <w:r w:rsidRPr="000A4CEA">
        <w:rPr>
          <w:rFonts w:ascii="Arial" w:eastAsia="Times New Roman" w:hAnsi="Arial" w:cs="Arial"/>
          <w:color w:val="000000"/>
          <w:sz w:val="21"/>
          <w:szCs w:val="21"/>
          <w:lang w:eastAsia="ru-RU"/>
        </w:rPr>
        <w:br/>
      </w:r>
      <w:proofErr w:type="gramStart"/>
      <w:r w:rsidRPr="000A4CEA">
        <w:rPr>
          <w:rFonts w:ascii="Arial" w:eastAsia="Times New Roman" w:hAnsi="Arial" w:cs="Arial"/>
          <w:color w:val="000000"/>
          <w:sz w:val="21"/>
          <w:szCs w:val="21"/>
          <w:lang w:eastAsia="ru-RU"/>
        </w:rPr>
        <w:t>Так, согласно ч. 7 ст. 189 ЖК РФ в случае, если капитальный ремонт общего имущества в МКД,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roofErr w:type="gramEnd"/>
      <w:r w:rsidRPr="000A4CEA">
        <w:rPr>
          <w:rFonts w:ascii="Arial" w:eastAsia="Times New Roman" w:hAnsi="Arial" w:cs="Arial"/>
          <w:color w:val="000000"/>
          <w:sz w:val="21"/>
          <w:szCs w:val="21"/>
          <w:lang w:eastAsia="ru-RU"/>
        </w:rPr>
        <w:br/>
        <w:t xml:space="preserve">При этом важно отметить следующее. Срок проведения капитального ремонта в рассматриваемом случае определяется в порядке </w:t>
      </w:r>
      <w:proofErr w:type="gramStart"/>
      <w:r w:rsidRPr="000A4CEA">
        <w:rPr>
          <w:rFonts w:ascii="Arial" w:eastAsia="Times New Roman" w:hAnsi="Arial" w:cs="Arial"/>
          <w:color w:val="000000"/>
          <w:sz w:val="21"/>
          <w:szCs w:val="21"/>
          <w:lang w:eastAsia="ru-RU"/>
        </w:rPr>
        <w:t>установления необходимости проведения капитального ремонта общего имущества</w:t>
      </w:r>
      <w:proofErr w:type="gramEnd"/>
      <w:r w:rsidRPr="000A4CEA">
        <w:rPr>
          <w:rFonts w:ascii="Arial" w:eastAsia="Times New Roman" w:hAnsi="Arial" w:cs="Arial"/>
          <w:color w:val="000000"/>
          <w:sz w:val="21"/>
          <w:szCs w:val="21"/>
          <w:lang w:eastAsia="ru-RU"/>
        </w:rPr>
        <w:t xml:space="preserve"> в МКД (п. 3 ч. 4 ст. 168 ЖК РФ). </w:t>
      </w:r>
      <w:proofErr w:type="gramStart"/>
      <w:r w:rsidRPr="000A4CEA">
        <w:rPr>
          <w:rFonts w:ascii="Arial" w:eastAsia="Times New Roman" w:hAnsi="Arial" w:cs="Arial"/>
          <w:color w:val="000000"/>
          <w:sz w:val="21"/>
          <w:szCs w:val="21"/>
          <w:lang w:eastAsia="ru-RU"/>
        </w:rPr>
        <w:t>Т.е. для принятия решения, указанного выше, орган местного самоуправления должен убедиться в том, что в соответствии с порядком установления необходимости проведения капитального ремонта общего имущества в МКД на момент принятия решения требуется оказание какого-либо вида услуг и (или) выполнение какого-либо вида работ, предусмотренных для этого МКД региональной программой капитального ремонта.</w:t>
      </w:r>
      <w:proofErr w:type="gramEnd"/>
    </w:p>
    <w:p w:rsidR="00575D94" w:rsidRPr="000A4CEA" w:rsidRDefault="00575D94" w:rsidP="00575D94">
      <w:pPr>
        <w:shd w:val="clear" w:color="auto" w:fill="FFFFFF"/>
        <w:spacing w:after="0" w:line="240" w:lineRule="auto"/>
        <w:rPr>
          <w:rFonts w:ascii="Arial" w:eastAsia="Times New Roman" w:hAnsi="Arial" w:cs="Arial"/>
          <w:color w:val="000000"/>
          <w:sz w:val="18"/>
          <w:szCs w:val="18"/>
          <w:lang w:eastAsia="ru-RU"/>
        </w:rPr>
      </w:pPr>
      <w:r w:rsidRPr="000A4CEA">
        <w:rPr>
          <w:rFonts w:ascii="Arial" w:eastAsia="Times New Roman" w:hAnsi="Arial" w:cs="Arial"/>
          <w:color w:val="000000"/>
          <w:sz w:val="18"/>
          <w:szCs w:val="18"/>
          <w:lang w:eastAsia="ru-RU"/>
        </w:rPr>
        <w:t>07.12.2017</w:t>
      </w:r>
    </w:p>
    <w:p w:rsidR="00575D94" w:rsidRPr="000A4CEA" w:rsidRDefault="00575D94" w:rsidP="00575D94">
      <w:pPr>
        <w:shd w:val="clear" w:color="auto" w:fill="FFFFFF"/>
        <w:spacing w:after="420" w:line="405" w:lineRule="atLeast"/>
        <w:outlineLvl w:val="1"/>
        <w:rPr>
          <w:rFonts w:ascii="Arial" w:eastAsia="Times New Roman" w:hAnsi="Arial" w:cs="Arial"/>
          <w:color w:val="333333"/>
          <w:sz w:val="27"/>
          <w:szCs w:val="27"/>
          <w:lang w:eastAsia="ru-RU"/>
        </w:rPr>
      </w:pPr>
      <w:r w:rsidRPr="000A4CEA">
        <w:rPr>
          <w:rFonts w:ascii="Arial" w:eastAsia="Times New Roman" w:hAnsi="Arial" w:cs="Arial"/>
          <w:color w:val="333333"/>
          <w:sz w:val="27"/>
          <w:szCs w:val="27"/>
          <w:lang w:eastAsia="ru-RU"/>
        </w:rPr>
        <w:t>Темпы проведения капитального ремонта</w:t>
      </w:r>
    </w:p>
    <w:p w:rsidR="00575D94" w:rsidRPr="000A4CEA" w:rsidRDefault="00575D94" w:rsidP="00575D94">
      <w:pPr>
        <w:shd w:val="clear" w:color="auto" w:fill="FFFFFF"/>
        <w:spacing w:after="300" w:line="240" w:lineRule="auto"/>
        <w:rPr>
          <w:rFonts w:ascii="Arial" w:eastAsia="Times New Roman" w:hAnsi="Arial" w:cs="Arial"/>
          <w:color w:val="000000"/>
          <w:sz w:val="21"/>
          <w:szCs w:val="21"/>
          <w:lang w:eastAsia="ru-RU"/>
        </w:rPr>
      </w:pPr>
      <w:r w:rsidRPr="000A4CEA">
        <w:rPr>
          <w:rFonts w:ascii="Arial" w:eastAsia="Times New Roman" w:hAnsi="Arial" w:cs="Arial"/>
          <w:color w:val="000000"/>
          <w:sz w:val="21"/>
          <w:szCs w:val="21"/>
          <w:lang w:eastAsia="ru-RU"/>
        </w:rPr>
        <w:t>Темпы проведения капитального ремонта в России за год увеличились на 16%</w:t>
      </w:r>
    </w:p>
    <w:p w:rsidR="00575D94" w:rsidRPr="000A4CEA" w:rsidRDefault="00575D94" w:rsidP="00575D94">
      <w:pPr>
        <w:shd w:val="clear" w:color="auto" w:fill="FFFFFF"/>
        <w:spacing w:after="300" w:line="240" w:lineRule="auto"/>
        <w:jc w:val="both"/>
        <w:rPr>
          <w:rFonts w:ascii="Arial" w:eastAsia="Times New Roman" w:hAnsi="Arial" w:cs="Arial"/>
          <w:color w:val="000000"/>
          <w:sz w:val="21"/>
          <w:szCs w:val="21"/>
          <w:lang w:eastAsia="ru-RU"/>
        </w:rPr>
      </w:pPr>
      <w:r w:rsidRPr="000A4CEA">
        <w:rPr>
          <w:rFonts w:ascii="Arial" w:eastAsia="Times New Roman" w:hAnsi="Arial" w:cs="Arial"/>
          <w:color w:val="000000"/>
          <w:sz w:val="21"/>
          <w:szCs w:val="21"/>
          <w:lang w:eastAsia="ru-RU"/>
        </w:rPr>
        <w:t xml:space="preserve">В России капитально отремонтировано почти 100 тыс. домов, а собираемость взносов на капитальный ремонт увеличилась на 7% по сравнению с показателями 2016 года. Такие данные озвучил глава Минстроя России Михаил </w:t>
      </w:r>
      <w:proofErr w:type="spellStart"/>
      <w:r w:rsidRPr="000A4CEA">
        <w:rPr>
          <w:rFonts w:ascii="Arial" w:eastAsia="Times New Roman" w:hAnsi="Arial" w:cs="Arial"/>
          <w:color w:val="000000"/>
          <w:sz w:val="21"/>
          <w:szCs w:val="21"/>
          <w:lang w:eastAsia="ru-RU"/>
        </w:rPr>
        <w:t>Мень</w:t>
      </w:r>
      <w:proofErr w:type="spellEnd"/>
      <w:r w:rsidRPr="000A4CEA">
        <w:rPr>
          <w:rFonts w:ascii="Arial" w:eastAsia="Times New Roman" w:hAnsi="Arial" w:cs="Arial"/>
          <w:color w:val="000000"/>
          <w:sz w:val="21"/>
          <w:szCs w:val="21"/>
          <w:lang w:eastAsia="ru-RU"/>
        </w:rPr>
        <w:t xml:space="preserve"> на Всероссийском </w:t>
      </w:r>
      <w:proofErr w:type="spellStart"/>
      <w:r w:rsidRPr="000A4CEA">
        <w:rPr>
          <w:rFonts w:ascii="Arial" w:eastAsia="Times New Roman" w:hAnsi="Arial" w:cs="Arial"/>
          <w:color w:val="000000"/>
          <w:sz w:val="21"/>
          <w:szCs w:val="21"/>
          <w:lang w:eastAsia="ru-RU"/>
        </w:rPr>
        <w:t>видеоселекторном</w:t>
      </w:r>
      <w:proofErr w:type="spellEnd"/>
      <w:r w:rsidRPr="000A4CEA">
        <w:rPr>
          <w:rFonts w:ascii="Arial" w:eastAsia="Times New Roman" w:hAnsi="Arial" w:cs="Arial"/>
          <w:color w:val="000000"/>
          <w:sz w:val="21"/>
          <w:szCs w:val="21"/>
          <w:lang w:eastAsia="ru-RU"/>
        </w:rPr>
        <w:t xml:space="preserve"> совещании по выполнению программ создания комфортной городской среды и капитального ремонта, которое состоялось 27 ноября в ведомстве.</w:t>
      </w:r>
      <w:r w:rsidRPr="000A4CEA">
        <w:rPr>
          <w:rFonts w:ascii="Arial" w:eastAsia="Times New Roman" w:hAnsi="Arial" w:cs="Arial"/>
          <w:color w:val="000000"/>
          <w:sz w:val="21"/>
          <w:szCs w:val="21"/>
          <w:lang w:eastAsia="ru-RU"/>
        </w:rPr>
        <w:br/>
      </w:r>
      <w:r w:rsidRPr="000A4CEA">
        <w:rPr>
          <w:rFonts w:ascii="Arial" w:eastAsia="Times New Roman" w:hAnsi="Arial" w:cs="Arial"/>
          <w:color w:val="000000"/>
          <w:sz w:val="21"/>
          <w:szCs w:val="21"/>
          <w:lang w:eastAsia="ru-RU"/>
        </w:rPr>
        <w:lastRenderedPageBreak/>
        <w:t xml:space="preserve">Михаил </w:t>
      </w:r>
      <w:proofErr w:type="spellStart"/>
      <w:r w:rsidRPr="000A4CEA">
        <w:rPr>
          <w:rFonts w:ascii="Arial" w:eastAsia="Times New Roman" w:hAnsi="Arial" w:cs="Arial"/>
          <w:color w:val="000000"/>
          <w:sz w:val="21"/>
          <w:szCs w:val="21"/>
          <w:lang w:eastAsia="ru-RU"/>
        </w:rPr>
        <w:t>Мень</w:t>
      </w:r>
      <w:proofErr w:type="spellEnd"/>
      <w:r w:rsidRPr="000A4CEA">
        <w:rPr>
          <w:rFonts w:ascii="Arial" w:eastAsia="Times New Roman" w:hAnsi="Arial" w:cs="Arial"/>
          <w:color w:val="000000"/>
          <w:sz w:val="21"/>
          <w:szCs w:val="21"/>
          <w:lang w:eastAsia="ru-RU"/>
        </w:rPr>
        <w:t xml:space="preserve"> отметил, что программа капремонта в регионах заработала в плановом режиме. По итогам </w:t>
      </w:r>
      <w:r>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1">
            <wp:simplePos x="0" y="0"/>
            <wp:positionH relativeFrom="column">
              <wp:posOffset>-120015</wp:posOffset>
            </wp:positionH>
            <wp:positionV relativeFrom="paragraph">
              <wp:posOffset>0</wp:posOffset>
            </wp:positionV>
            <wp:extent cx="2600325" cy="1733550"/>
            <wp:effectExtent l="0" t="0" r="9525" b="0"/>
            <wp:wrapSquare wrapText="bothSides"/>
            <wp:docPr id="2" name="Рисунок 2"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y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CEA">
        <w:rPr>
          <w:rFonts w:ascii="Arial" w:eastAsia="Times New Roman" w:hAnsi="Arial" w:cs="Arial"/>
          <w:color w:val="000000"/>
          <w:sz w:val="21"/>
          <w:szCs w:val="21"/>
          <w:lang w:eastAsia="ru-RU"/>
        </w:rPr>
        <w:t xml:space="preserve">2017 года должен быть проведен ремонт более чем 40 тысяч многоквартирных домов общей площадью 171,4 </w:t>
      </w:r>
      <w:proofErr w:type="gramStart"/>
      <w:r w:rsidRPr="000A4CEA">
        <w:rPr>
          <w:rFonts w:ascii="Arial" w:eastAsia="Times New Roman" w:hAnsi="Arial" w:cs="Arial"/>
          <w:color w:val="000000"/>
          <w:sz w:val="21"/>
          <w:szCs w:val="21"/>
          <w:lang w:eastAsia="ru-RU"/>
        </w:rPr>
        <w:t>млн</w:t>
      </w:r>
      <w:proofErr w:type="gramEnd"/>
      <w:r w:rsidRPr="000A4CEA">
        <w:rPr>
          <w:rFonts w:ascii="Arial" w:eastAsia="Times New Roman" w:hAnsi="Arial" w:cs="Arial"/>
          <w:color w:val="000000"/>
          <w:sz w:val="21"/>
          <w:szCs w:val="21"/>
          <w:lang w:eastAsia="ru-RU"/>
        </w:rPr>
        <w:t xml:space="preserve"> кв. м, где проживают более 6 млн чел. Из них уже сейчас отремонтировано практически 30 тыс. домов (101,6 млн </w:t>
      </w:r>
      <w:proofErr w:type="spellStart"/>
      <w:r w:rsidRPr="000A4CEA">
        <w:rPr>
          <w:rFonts w:ascii="Arial" w:eastAsia="Times New Roman" w:hAnsi="Arial" w:cs="Arial"/>
          <w:color w:val="000000"/>
          <w:sz w:val="21"/>
          <w:szCs w:val="21"/>
          <w:lang w:eastAsia="ru-RU"/>
        </w:rPr>
        <w:t>кв.м</w:t>
      </w:r>
      <w:proofErr w:type="spellEnd"/>
      <w:r w:rsidRPr="000A4CEA">
        <w:rPr>
          <w:rFonts w:ascii="Arial" w:eastAsia="Times New Roman" w:hAnsi="Arial" w:cs="Arial"/>
          <w:color w:val="000000"/>
          <w:sz w:val="21"/>
          <w:szCs w:val="21"/>
          <w:lang w:eastAsia="ru-RU"/>
        </w:rPr>
        <w:t>), что позволило улучшить условия проживания 3,8 млн человек.</w:t>
      </w:r>
      <w:r w:rsidRPr="000A4CEA">
        <w:rPr>
          <w:rFonts w:ascii="Arial" w:eastAsia="Times New Roman" w:hAnsi="Arial" w:cs="Arial"/>
          <w:color w:val="000000"/>
          <w:sz w:val="21"/>
          <w:szCs w:val="21"/>
          <w:lang w:eastAsia="ru-RU"/>
        </w:rPr>
        <w:br/>
        <w:t>Отдельно министр отметил ряд субъектов Российской Федерации, которые показали высокие темпы реализации региональных программ капремонта: Республика Татарстан — 982 дома при плане 991 дом, Липецкая область — 541 дом при плане 621 дом, Тульская область — 871 дом при плане 1115 домов, город Москва — 3 207 домов при плане 4 178 домов, Вологодская область — 416 домов при плане 564 дома.</w:t>
      </w:r>
      <w:r w:rsidRPr="000A4CEA">
        <w:rPr>
          <w:rFonts w:ascii="Arial" w:eastAsia="Times New Roman" w:hAnsi="Arial" w:cs="Arial"/>
          <w:color w:val="000000"/>
          <w:sz w:val="21"/>
          <w:szCs w:val="21"/>
          <w:lang w:eastAsia="ru-RU"/>
        </w:rPr>
        <w:br/>
        <w:t xml:space="preserve">Особое внимание Михаил </w:t>
      </w:r>
      <w:proofErr w:type="spellStart"/>
      <w:r w:rsidRPr="000A4CEA">
        <w:rPr>
          <w:rFonts w:ascii="Arial" w:eastAsia="Times New Roman" w:hAnsi="Arial" w:cs="Arial"/>
          <w:color w:val="000000"/>
          <w:sz w:val="21"/>
          <w:szCs w:val="21"/>
          <w:lang w:eastAsia="ru-RU"/>
        </w:rPr>
        <w:t>Мень</w:t>
      </w:r>
      <w:proofErr w:type="spellEnd"/>
      <w:r w:rsidRPr="000A4CEA">
        <w:rPr>
          <w:rFonts w:ascii="Arial" w:eastAsia="Times New Roman" w:hAnsi="Arial" w:cs="Arial"/>
          <w:color w:val="000000"/>
          <w:sz w:val="21"/>
          <w:szCs w:val="21"/>
          <w:lang w:eastAsia="ru-RU"/>
        </w:rPr>
        <w:t xml:space="preserve"> уделил теме собираемости взносов на капремонт. «Рост уровня собираемости взносов на капитальный ремонт на сегодня составляет 88,85%. По сравнению с аналогичным периодом 2016 года, собираемость выросла на 7,11%, что еще раз подтверждает доверие граждан к запущенной системе, — подчеркнул министр. — Но при этом обращаю внимание на недопустимость неоплаты взносов на капитальный ремонт публичными собственниками».</w:t>
      </w:r>
      <w:r w:rsidRPr="000A4CEA">
        <w:rPr>
          <w:rFonts w:ascii="Arial" w:eastAsia="Times New Roman" w:hAnsi="Arial" w:cs="Arial"/>
          <w:color w:val="000000"/>
          <w:sz w:val="21"/>
          <w:szCs w:val="21"/>
          <w:lang w:eastAsia="ru-RU"/>
        </w:rPr>
        <w:br/>
        <w:t xml:space="preserve">По словам главы ведомства, Минстрой России активно работает с федеральными органами исполнительной власти в части погашения ими своей задолженности. Тем не менее, в отдельных регионах остается проблема с уплатой взносов за региональную и муниципальную собственность. Среди них Республики Северная Осетия-Алания и Ингушетия, Саратовская область, Еврейская Автономная область. Михаил </w:t>
      </w:r>
      <w:proofErr w:type="spellStart"/>
      <w:r w:rsidRPr="000A4CEA">
        <w:rPr>
          <w:rFonts w:ascii="Arial" w:eastAsia="Times New Roman" w:hAnsi="Arial" w:cs="Arial"/>
          <w:color w:val="000000"/>
          <w:sz w:val="21"/>
          <w:szCs w:val="21"/>
          <w:lang w:eastAsia="ru-RU"/>
        </w:rPr>
        <w:t>Мень</w:t>
      </w:r>
      <w:proofErr w:type="spellEnd"/>
      <w:r w:rsidRPr="000A4CEA">
        <w:rPr>
          <w:rFonts w:ascii="Arial" w:eastAsia="Times New Roman" w:hAnsi="Arial" w:cs="Arial"/>
          <w:color w:val="000000"/>
          <w:sz w:val="21"/>
          <w:szCs w:val="21"/>
          <w:lang w:eastAsia="ru-RU"/>
        </w:rPr>
        <w:t xml:space="preserve"> призвал коллег из названных регионов принять необходимые меры для решения этой проблемы.</w:t>
      </w:r>
      <w:r w:rsidRPr="000A4CEA">
        <w:rPr>
          <w:rFonts w:ascii="Arial" w:eastAsia="Times New Roman" w:hAnsi="Arial" w:cs="Arial"/>
          <w:color w:val="000000"/>
          <w:sz w:val="21"/>
          <w:szCs w:val="21"/>
          <w:lang w:eastAsia="ru-RU"/>
        </w:rPr>
        <w:br/>
        <w:t xml:space="preserve">В свою очередь замглавы Минстроя России Андрей Чибис добавил, что в этом году заключены контракты на проведение капремонта почти на 200 </w:t>
      </w:r>
      <w:proofErr w:type="gramStart"/>
      <w:r w:rsidRPr="000A4CEA">
        <w:rPr>
          <w:rFonts w:ascii="Arial" w:eastAsia="Times New Roman" w:hAnsi="Arial" w:cs="Arial"/>
          <w:color w:val="000000"/>
          <w:sz w:val="21"/>
          <w:szCs w:val="21"/>
          <w:lang w:eastAsia="ru-RU"/>
        </w:rPr>
        <w:t>млрд</w:t>
      </w:r>
      <w:proofErr w:type="gramEnd"/>
      <w:r w:rsidRPr="000A4CEA">
        <w:rPr>
          <w:rFonts w:ascii="Arial" w:eastAsia="Times New Roman" w:hAnsi="Arial" w:cs="Arial"/>
          <w:color w:val="000000"/>
          <w:sz w:val="21"/>
          <w:szCs w:val="21"/>
          <w:lang w:eastAsia="ru-RU"/>
        </w:rPr>
        <w:t xml:space="preserve"> рублей. «В этом году законтрактовано работ на 197 </w:t>
      </w:r>
      <w:proofErr w:type="gramStart"/>
      <w:r w:rsidRPr="000A4CEA">
        <w:rPr>
          <w:rFonts w:ascii="Arial" w:eastAsia="Times New Roman" w:hAnsi="Arial" w:cs="Arial"/>
          <w:color w:val="000000"/>
          <w:sz w:val="21"/>
          <w:szCs w:val="21"/>
          <w:lang w:eastAsia="ru-RU"/>
        </w:rPr>
        <w:t>млрд</w:t>
      </w:r>
      <w:proofErr w:type="gramEnd"/>
      <w:r w:rsidRPr="000A4CEA">
        <w:rPr>
          <w:rFonts w:ascii="Arial" w:eastAsia="Times New Roman" w:hAnsi="Arial" w:cs="Arial"/>
          <w:color w:val="000000"/>
          <w:sz w:val="21"/>
          <w:szCs w:val="21"/>
          <w:lang w:eastAsia="ru-RU"/>
        </w:rPr>
        <w:t xml:space="preserve"> рублей. То есть ситуация, когда деньги лежат на счетах и не идут в дело, в целом по стране практически решена», — отметил замминистра.</w:t>
      </w:r>
    </w:p>
    <w:p w:rsidR="00575D94" w:rsidRPr="000A4CEA" w:rsidRDefault="00575D94" w:rsidP="00575D94">
      <w:pPr>
        <w:shd w:val="clear" w:color="auto" w:fill="FFFFFF"/>
        <w:spacing w:after="0" w:line="240" w:lineRule="auto"/>
        <w:rPr>
          <w:rFonts w:ascii="Arial" w:eastAsia="Times New Roman" w:hAnsi="Arial" w:cs="Arial"/>
          <w:color w:val="000000"/>
          <w:sz w:val="18"/>
          <w:szCs w:val="18"/>
          <w:lang w:eastAsia="ru-RU"/>
        </w:rPr>
      </w:pPr>
      <w:r w:rsidRPr="000A4CEA">
        <w:rPr>
          <w:rFonts w:ascii="Arial" w:eastAsia="Times New Roman" w:hAnsi="Arial" w:cs="Arial"/>
          <w:color w:val="000000"/>
          <w:sz w:val="18"/>
          <w:szCs w:val="18"/>
          <w:lang w:eastAsia="ru-RU"/>
        </w:rPr>
        <w:t>07.12.2017</w:t>
      </w:r>
    </w:p>
    <w:p w:rsidR="00575D94" w:rsidRPr="000A4CEA" w:rsidRDefault="00575D94" w:rsidP="00575D94">
      <w:pPr>
        <w:shd w:val="clear" w:color="auto" w:fill="FFFFFF"/>
        <w:spacing w:after="420" w:line="405" w:lineRule="atLeast"/>
        <w:outlineLvl w:val="1"/>
        <w:rPr>
          <w:rFonts w:ascii="Arial" w:eastAsia="Times New Roman" w:hAnsi="Arial" w:cs="Arial"/>
          <w:color w:val="333333"/>
          <w:sz w:val="27"/>
          <w:szCs w:val="27"/>
          <w:lang w:eastAsia="ru-RU"/>
        </w:rPr>
      </w:pPr>
      <w:r w:rsidRPr="000A4CEA">
        <w:rPr>
          <w:rFonts w:ascii="Arial" w:eastAsia="Times New Roman" w:hAnsi="Arial" w:cs="Arial"/>
          <w:color w:val="333333"/>
          <w:sz w:val="27"/>
          <w:szCs w:val="27"/>
          <w:lang w:eastAsia="ru-RU"/>
        </w:rPr>
        <w:t>Квитанция на капремонт по электронной почте</w:t>
      </w:r>
    </w:p>
    <w:p w:rsidR="00575D94" w:rsidRPr="000A4CEA" w:rsidRDefault="00575D94" w:rsidP="00575D94">
      <w:pPr>
        <w:shd w:val="clear" w:color="auto" w:fill="FFFFFF"/>
        <w:spacing w:after="300" w:line="240" w:lineRule="auto"/>
        <w:rPr>
          <w:rFonts w:ascii="Arial" w:eastAsia="Times New Roman" w:hAnsi="Arial" w:cs="Arial"/>
          <w:color w:val="000000"/>
          <w:sz w:val="21"/>
          <w:szCs w:val="21"/>
          <w:lang w:eastAsia="ru-RU"/>
        </w:rPr>
      </w:pPr>
      <w:r w:rsidRPr="000A4CEA">
        <w:rPr>
          <w:rFonts w:ascii="Arial" w:eastAsia="Times New Roman" w:hAnsi="Arial" w:cs="Arial"/>
          <w:color w:val="000000"/>
          <w:sz w:val="21"/>
          <w:szCs w:val="21"/>
          <w:lang w:eastAsia="ru-RU"/>
        </w:rPr>
        <w:t>Уважаемые собственники помещений!</w:t>
      </w:r>
    </w:p>
    <w:p w:rsidR="00575D94" w:rsidRPr="000A4CEA" w:rsidRDefault="00575D94" w:rsidP="00575D94">
      <w:pPr>
        <w:shd w:val="clear" w:color="auto" w:fill="FFFFFF"/>
        <w:spacing w:after="300" w:line="240" w:lineRule="auto"/>
        <w:jc w:val="both"/>
        <w:rPr>
          <w:rFonts w:ascii="Arial" w:eastAsia="Times New Roman" w:hAnsi="Arial" w:cs="Arial"/>
          <w:color w:val="000000"/>
          <w:sz w:val="21"/>
          <w:szCs w:val="21"/>
          <w:lang w:eastAsia="ru-RU"/>
        </w:rPr>
      </w:pPr>
      <w:r w:rsidRPr="000A4CEA">
        <w:rPr>
          <w:rFonts w:ascii="Arial" w:eastAsia="Times New Roman" w:hAnsi="Arial" w:cs="Arial"/>
          <w:color w:val="000000"/>
          <w:sz w:val="21"/>
          <w:szCs w:val="21"/>
          <w:lang w:eastAsia="ru-RU"/>
        </w:rPr>
        <w:t>Получать квитанцию на капремонт по электронной почте предлагает заинтересованным собственникам Расчетный отдел Фонда. Фонд «Региональный оператор по проведению капитального ремонта многоквартирных домов Еврейской автономной области» предоставляет всем заинтересованным собственникам возможность обоюдного взаимодействия посредством электронной почты. Если возникли вопросы по оплате, начислению взносов на капитальный ремонт а также доставки квитанций Вы можете обратиться на наш электронный адрес. ro_nkorokr.eao@mail.ru</w:t>
      </w:r>
      <w:proofErr w:type="gramStart"/>
      <w:r w:rsidRPr="000A4CEA">
        <w:rPr>
          <w:rFonts w:ascii="Arial" w:eastAsia="Times New Roman" w:hAnsi="Arial" w:cs="Arial"/>
          <w:color w:val="000000"/>
          <w:sz w:val="21"/>
          <w:szCs w:val="21"/>
          <w:lang w:eastAsia="ru-RU"/>
        </w:rPr>
        <w:t xml:space="preserve"> К</w:t>
      </w:r>
      <w:proofErr w:type="gramEnd"/>
      <w:r w:rsidRPr="000A4CEA">
        <w:rPr>
          <w:rFonts w:ascii="Arial" w:eastAsia="Times New Roman" w:hAnsi="Arial" w:cs="Arial"/>
          <w:color w:val="000000"/>
          <w:sz w:val="21"/>
          <w:szCs w:val="21"/>
          <w:lang w:eastAsia="ru-RU"/>
        </w:rPr>
        <w:t>роме того, заполнив прилагаемое ниже заявление Вы сможете получать квитанции в электронном виде.</w:t>
      </w:r>
      <w:r w:rsidRPr="000A4CEA">
        <w:rPr>
          <w:rFonts w:ascii="Arial" w:eastAsia="Times New Roman" w:hAnsi="Arial" w:cs="Arial"/>
          <w:color w:val="000000"/>
          <w:sz w:val="21"/>
          <w:szCs w:val="21"/>
          <w:lang w:eastAsia="ru-RU"/>
        </w:rPr>
        <w:br/>
        <w:t>Заявление необходимо подать по адресам:</w:t>
      </w:r>
      <w:proofErr w:type="gramStart"/>
      <w:r w:rsidRPr="000A4CEA">
        <w:rPr>
          <w:rFonts w:ascii="Arial" w:eastAsia="Times New Roman" w:hAnsi="Arial" w:cs="Arial"/>
          <w:color w:val="000000"/>
          <w:sz w:val="21"/>
          <w:szCs w:val="21"/>
          <w:lang w:eastAsia="ru-RU"/>
        </w:rPr>
        <w:br/>
        <w:t>-</w:t>
      </w:r>
      <w:proofErr w:type="gramEnd"/>
      <w:r w:rsidRPr="000A4CEA">
        <w:rPr>
          <w:rFonts w:ascii="Arial" w:eastAsia="Times New Roman" w:hAnsi="Arial" w:cs="Arial"/>
          <w:color w:val="000000"/>
          <w:sz w:val="21"/>
          <w:szCs w:val="21"/>
          <w:lang w:eastAsia="ru-RU"/>
        </w:rPr>
        <w:t>Биробиджан, ул. Шолом-Алейхема, 25</w:t>
      </w:r>
      <w:r w:rsidRPr="000A4CEA">
        <w:rPr>
          <w:rFonts w:ascii="Arial" w:eastAsia="Times New Roman" w:hAnsi="Arial" w:cs="Arial"/>
          <w:color w:val="000000"/>
          <w:sz w:val="21"/>
          <w:szCs w:val="21"/>
          <w:lang w:eastAsia="ru-RU"/>
        </w:rPr>
        <w:br/>
        <w:t xml:space="preserve">-Биробиджан, ул. Пионерская, 46 (Обратиться в </w:t>
      </w:r>
      <w:proofErr w:type="spellStart"/>
      <w:r w:rsidRPr="000A4CEA">
        <w:rPr>
          <w:rFonts w:ascii="Arial" w:eastAsia="Times New Roman" w:hAnsi="Arial" w:cs="Arial"/>
          <w:color w:val="000000"/>
          <w:sz w:val="21"/>
          <w:szCs w:val="21"/>
          <w:lang w:eastAsia="ru-RU"/>
        </w:rPr>
        <w:t>каб</w:t>
      </w:r>
      <w:proofErr w:type="spellEnd"/>
      <w:r w:rsidRPr="000A4CEA">
        <w:rPr>
          <w:rFonts w:ascii="Arial" w:eastAsia="Times New Roman" w:hAnsi="Arial" w:cs="Arial"/>
          <w:color w:val="000000"/>
          <w:sz w:val="21"/>
          <w:szCs w:val="21"/>
          <w:lang w:eastAsia="ru-RU"/>
        </w:rPr>
        <w:t>.№ 7)</w:t>
      </w:r>
      <w:r w:rsidRPr="000A4CEA">
        <w:rPr>
          <w:rFonts w:ascii="Arial" w:eastAsia="Times New Roman" w:hAnsi="Arial" w:cs="Arial"/>
          <w:color w:val="000000"/>
          <w:sz w:val="21"/>
          <w:szCs w:val="21"/>
          <w:lang w:eastAsia="ru-RU"/>
        </w:rPr>
        <w:br/>
        <w:t>Либо направить скан заполненного заявления электронной почтой.</w:t>
      </w:r>
    </w:p>
    <w:p w:rsidR="00575D94" w:rsidRPr="000A4CEA" w:rsidRDefault="00575D94" w:rsidP="00575D94">
      <w:pPr>
        <w:shd w:val="clear" w:color="auto" w:fill="FFFFFF"/>
        <w:spacing w:after="300" w:line="240" w:lineRule="auto"/>
        <w:jc w:val="right"/>
        <w:rPr>
          <w:rFonts w:ascii="Arial" w:eastAsia="Times New Roman" w:hAnsi="Arial" w:cs="Arial"/>
          <w:color w:val="000000"/>
          <w:sz w:val="21"/>
          <w:szCs w:val="21"/>
          <w:lang w:eastAsia="ru-RU"/>
        </w:rPr>
      </w:pPr>
      <w:r w:rsidRPr="000A4CEA">
        <w:rPr>
          <w:rFonts w:ascii="Arial" w:eastAsia="Times New Roman" w:hAnsi="Arial" w:cs="Arial"/>
          <w:color w:val="000000"/>
          <w:sz w:val="21"/>
          <w:szCs w:val="21"/>
          <w:lang w:eastAsia="ru-RU"/>
        </w:rPr>
        <w:t>Начальник расчетного отдела</w:t>
      </w:r>
      <w:r w:rsidRPr="000A4CEA">
        <w:rPr>
          <w:rFonts w:ascii="Arial" w:eastAsia="Times New Roman" w:hAnsi="Arial" w:cs="Arial"/>
          <w:color w:val="000000"/>
          <w:sz w:val="21"/>
          <w:szCs w:val="21"/>
          <w:lang w:eastAsia="ru-RU"/>
        </w:rPr>
        <w:br/>
        <w:t>Ирина Соколовская</w:t>
      </w:r>
    </w:p>
    <w:p w:rsidR="00575D94" w:rsidRPr="000A4CEA" w:rsidRDefault="00575D94" w:rsidP="00575D94">
      <w:pPr>
        <w:shd w:val="clear" w:color="auto" w:fill="FFFFFF"/>
        <w:spacing w:after="0" w:line="240" w:lineRule="auto"/>
        <w:rPr>
          <w:rFonts w:ascii="Arial" w:eastAsia="Times New Roman" w:hAnsi="Arial" w:cs="Arial"/>
          <w:color w:val="000000"/>
          <w:sz w:val="18"/>
          <w:szCs w:val="18"/>
          <w:lang w:eastAsia="ru-RU"/>
        </w:rPr>
      </w:pPr>
      <w:r w:rsidRPr="000A4CEA">
        <w:rPr>
          <w:rFonts w:ascii="Arial" w:eastAsia="Times New Roman" w:hAnsi="Arial" w:cs="Arial"/>
          <w:color w:val="000000"/>
          <w:sz w:val="18"/>
          <w:szCs w:val="18"/>
          <w:lang w:eastAsia="ru-RU"/>
        </w:rPr>
        <w:t>11.12.2017</w:t>
      </w:r>
    </w:p>
    <w:p w:rsidR="00575D94" w:rsidRPr="000A4CEA" w:rsidRDefault="00575D94" w:rsidP="00575D94">
      <w:pPr>
        <w:shd w:val="clear" w:color="auto" w:fill="FFFFFF"/>
        <w:spacing w:after="420" w:line="405" w:lineRule="atLeast"/>
        <w:outlineLvl w:val="1"/>
        <w:rPr>
          <w:rFonts w:ascii="Arial" w:eastAsia="Times New Roman" w:hAnsi="Arial" w:cs="Arial"/>
          <w:color w:val="333333"/>
          <w:sz w:val="27"/>
          <w:szCs w:val="27"/>
          <w:lang w:eastAsia="ru-RU"/>
        </w:rPr>
      </w:pPr>
      <w:r w:rsidRPr="000A4CEA">
        <w:rPr>
          <w:rFonts w:ascii="Arial" w:eastAsia="Times New Roman" w:hAnsi="Arial" w:cs="Arial"/>
          <w:color w:val="333333"/>
          <w:sz w:val="27"/>
          <w:szCs w:val="27"/>
          <w:lang w:eastAsia="ru-RU"/>
        </w:rPr>
        <w:t>Если капремонт не был проведён</w:t>
      </w:r>
    </w:p>
    <w:p w:rsidR="00575D94" w:rsidRPr="000A4CEA" w:rsidRDefault="00575D94" w:rsidP="00575D94">
      <w:pPr>
        <w:shd w:val="clear" w:color="auto" w:fill="FFFFFF"/>
        <w:spacing w:after="300" w:line="240" w:lineRule="auto"/>
        <w:jc w:val="both"/>
        <w:rPr>
          <w:rFonts w:ascii="Arial" w:eastAsia="Times New Roman" w:hAnsi="Arial" w:cs="Arial"/>
          <w:color w:val="000000"/>
          <w:sz w:val="21"/>
          <w:szCs w:val="21"/>
          <w:lang w:eastAsia="ru-RU"/>
        </w:rPr>
      </w:pPr>
      <w:r w:rsidRPr="000A4CEA">
        <w:rPr>
          <w:rFonts w:ascii="Arial" w:eastAsia="Times New Roman" w:hAnsi="Arial" w:cs="Arial"/>
          <w:color w:val="000000"/>
          <w:sz w:val="21"/>
          <w:szCs w:val="21"/>
          <w:lang w:eastAsia="ru-RU"/>
        </w:rPr>
        <w:t>Если запланированный до приватизации капремонт многоквартирного дома до сих пор не был проведен…</w:t>
      </w:r>
      <w:r w:rsidRPr="000A4CEA">
        <w:rPr>
          <w:rFonts w:ascii="Arial" w:eastAsia="Times New Roman" w:hAnsi="Arial" w:cs="Arial"/>
          <w:color w:val="000000"/>
          <w:sz w:val="21"/>
          <w:szCs w:val="21"/>
          <w:lang w:eastAsia="ru-RU"/>
        </w:rPr>
        <w:br/>
        <w:t>6 декабря 2017 г. Государственной Думой принят во втором чтении проект поправок в Жилищный кодекс России и Закон о приватизации жилищного фонда.</w:t>
      </w:r>
      <w:r w:rsidRPr="000A4CEA">
        <w:rPr>
          <w:rFonts w:ascii="Arial" w:eastAsia="Times New Roman" w:hAnsi="Arial" w:cs="Arial"/>
          <w:color w:val="000000"/>
          <w:sz w:val="21"/>
          <w:szCs w:val="21"/>
          <w:lang w:eastAsia="ru-RU"/>
        </w:rPr>
        <w:br/>
        <w:t xml:space="preserve">Устанавливаются особенности организации капремонта многоквартирных домов, в которых на дату </w:t>
      </w:r>
      <w:r w:rsidRPr="000A4CEA">
        <w:rPr>
          <w:rFonts w:ascii="Arial" w:eastAsia="Times New Roman" w:hAnsi="Arial" w:cs="Arial"/>
          <w:color w:val="000000"/>
          <w:sz w:val="21"/>
          <w:szCs w:val="21"/>
          <w:lang w:eastAsia="ru-RU"/>
        </w:rPr>
        <w:lastRenderedPageBreak/>
        <w:t xml:space="preserve">приватизации первого жилого помещения требовался ремонт, но он не был проведен. </w:t>
      </w:r>
      <w:proofErr w:type="gramStart"/>
      <w:r w:rsidRPr="000A4CEA">
        <w:rPr>
          <w:rFonts w:ascii="Arial" w:eastAsia="Times New Roman" w:hAnsi="Arial" w:cs="Arial"/>
          <w:color w:val="000000"/>
          <w:sz w:val="21"/>
          <w:szCs w:val="21"/>
          <w:lang w:eastAsia="ru-RU"/>
        </w:rPr>
        <w:t xml:space="preserve">В этом случае за бывшим </w:t>
      </w:r>
      <w:proofErr w:type="spellStart"/>
      <w:r w:rsidRPr="000A4CEA">
        <w:rPr>
          <w:rFonts w:ascii="Arial" w:eastAsia="Times New Roman" w:hAnsi="Arial" w:cs="Arial"/>
          <w:color w:val="000000"/>
          <w:sz w:val="21"/>
          <w:szCs w:val="21"/>
          <w:lang w:eastAsia="ru-RU"/>
        </w:rPr>
        <w:t>наймодателем</w:t>
      </w:r>
      <w:proofErr w:type="spellEnd"/>
      <w:r w:rsidRPr="000A4CEA">
        <w:rPr>
          <w:rFonts w:ascii="Arial" w:eastAsia="Times New Roman" w:hAnsi="Arial" w:cs="Arial"/>
          <w:color w:val="000000"/>
          <w:sz w:val="21"/>
          <w:szCs w:val="21"/>
          <w:lang w:eastAsia="ru-RU"/>
        </w:rPr>
        <w:t xml:space="preserve"> сохраняется обязанность отремонтировать дом.</w:t>
      </w:r>
      <w:proofErr w:type="gramEnd"/>
      <w:r w:rsidRPr="000A4CEA">
        <w:rPr>
          <w:rFonts w:ascii="Arial" w:eastAsia="Times New Roman" w:hAnsi="Arial" w:cs="Arial"/>
          <w:color w:val="000000"/>
          <w:sz w:val="21"/>
          <w:szCs w:val="21"/>
          <w:lang w:eastAsia="ru-RU"/>
        </w:rPr>
        <w:t xml:space="preserve"> В связи с этим предлагается механизм финансирования ремонта из бюджетов разных уровней. </w:t>
      </w:r>
      <w:r>
        <w:rPr>
          <w:rFonts w:ascii="Arial" w:eastAsia="Times New Roman" w:hAnsi="Arial" w:cs="Arial"/>
          <w:noProof/>
          <w:color w:val="000000"/>
          <w:sz w:val="21"/>
          <w:szCs w:val="21"/>
          <w:lang w:eastAsia="ru-RU"/>
        </w:rPr>
        <w:drawing>
          <wp:inline distT="0" distB="0" distL="0" distR="0">
            <wp:extent cx="4382135" cy="2778760"/>
            <wp:effectExtent l="0" t="0" r="0" b="2540"/>
            <wp:docPr id="1" name="Рисунок 1" descr="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y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2135" cy="2778760"/>
                    </a:xfrm>
                    <a:prstGeom prst="rect">
                      <a:avLst/>
                    </a:prstGeom>
                    <a:noFill/>
                    <a:ln>
                      <a:noFill/>
                    </a:ln>
                  </pic:spPr>
                </pic:pic>
              </a:graphicData>
            </a:graphic>
          </wp:inline>
        </w:drawing>
      </w:r>
      <w:r w:rsidRPr="000A4CEA">
        <w:rPr>
          <w:rFonts w:ascii="Arial" w:eastAsia="Times New Roman" w:hAnsi="Arial" w:cs="Arial"/>
          <w:color w:val="000000"/>
          <w:sz w:val="21"/>
          <w:szCs w:val="21"/>
          <w:lang w:eastAsia="ru-RU"/>
        </w:rPr>
        <w:t>Создается система информирования собственников помещений о порядке и способах формирования фонда капремонта.</w:t>
      </w:r>
      <w:r w:rsidRPr="000A4CEA">
        <w:rPr>
          <w:rFonts w:ascii="Arial" w:eastAsia="Times New Roman" w:hAnsi="Arial" w:cs="Arial"/>
          <w:color w:val="000000"/>
          <w:sz w:val="21"/>
          <w:szCs w:val="21"/>
          <w:lang w:eastAsia="ru-RU"/>
        </w:rPr>
        <w:br/>
        <w:t>Устанавливается минимальный срок, в течение которого собственники должны принять решение об определении способа формирования фонда — либо на специальном счете, либо на счете регионального оператора. Обязанность по уплате взносов на капремонт будет возникать у собственников по истечении срока, установленного региональным законом (но не менее 3 и не более 8 месяцев после официального опубликования региональной программы капремонта дома).</w:t>
      </w:r>
      <w:r w:rsidRPr="000A4CEA">
        <w:rPr>
          <w:rFonts w:ascii="Arial" w:eastAsia="Times New Roman" w:hAnsi="Arial" w:cs="Arial"/>
          <w:color w:val="000000"/>
          <w:sz w:val="21"/>
          <w:szCs w:val="21"/>
          <w:lang w:eastAsia="ru-RU"/>
        </w:rPr>
        <w:br/>
        <w:t>Орган местного самоуправления должен проинформировать собственников о последствии неприятия решения о формировании фонда капремонта и созвать общее собрание по данному вопросу. Если и потом решение не будет принято, указанный орган формирует фонд на счете регионального оператора, уведомив об этом собственников. Если при аккумулировании средств на указанном счете собственники не приняли решение о проведении капремонта, то решение также принимает орган.</w:t>
      </w:r>
      <w:r w:rsidRPr="000A4CEA">
        <w:rPr>
          <w:rFonts w:ascii="Arial" w:eastAsia="Times New Roman" w:hAnsi="Arial" w:cs="Arial"/>
          <w:color w:val="000000"/>
          <w:sz w:val="21"/>
          <w:szCs w:val="21"/>
          <w:lang w:eastAsia="ru-RU"/>
        </w:rPr>
        <w:br/>
        <w:t xml:space="preserve">Устанавливается минимальный размер фонда на </w:t>
      </w:r>
      <w:proofErr w:type="spellStart"/>
      <w:r w:rsidRPr="000A4CEA">
        <w:rPr>
          <w:rFonts w:ascii="Arial" w:eastAsia="Times New Roman" w:hAnsi="Arial" w:cs="Arial"/>
          <w:color w:val="000000"/>
          <w:sz w:val="21"/>
          <w:szCs w:val="21"/>
          <w:lang w:eastAsia="ru-RU"/>
        </w:rPr>
        <w:t>спецсчете</w:t>
      </w:r>
      <w:proofErr w:type="spellEnd"/>
      <w:r w:rsidRPr="000A4CEA">
        <w:rPr>
          <w:rFonts w:ascii="Arial" w:eastAsia="Times New Roman" w:hAnsi="Arial" w:cs="Arial"/>
          <w:color w:val="000000"/>
          <w:sz w:val="21"/>
          <w:szCs w:val="21"/>
          <w:lang w:eastAsia="ru-RU"/>
        </w:rPr>
        <w:t xml:space="preserve">, по достижении которого собственники могут прекратить отчисления. Он не должен превышать более 50% от оценочной стоимости капремонта. Владелец </w:t>
      </w:r>
      <w:proofErr w:type="spellStart"/>
      <w:r w:rsidRPr="000A4CEA">
        <w:rPr>
          <w:rFonts w:ascii="Arial" w:eastAsia="Times New Roman" w:hAnsi="Arial" w:cs="Arial"/>
          <w:color w:val="000000"/>
          <w:sz w:val="21"/>
          <w:szCs w:val="21"/>
          <w:lang w:eastAsia="ru-RU"/>
        </w:rPr>
        <w:t>спецсчета</w:t>
      </w:r>
      <w:proofErr w:type="spellEnd"/>
      <w:r w:rsidRPr="000A4CEA">
        <w:rPr>
          <w:rFonts w:ascii="Arial" w:eastAsia="Times New Roman" w:hAnsi="Arial" w:cs="Arial"/>
          <w:color w:val="000000"/>
          <w:sz w:val="21"/>
          <w:szCs w:val="21"/>
          <w:lang w:eastAsia="ru-RU"/>
        </w:rPr>
        <w:t xml:space="preserve"> должен будет вести учет фонда, в том числе в электронной форме.</w:t>
      </w:r>
      <w:r w:rsidRPr="000A4CEA">
        <w:rPr>
          <w:rFonts w:ascii="Arial" w:eastAsia="Times New Roman" w:hAnsi="Arial" w:cs="Arial"/>
          <w:color w:val="000000"/>
          <w:sz w:val="21"/>
          <w:szCs w:val="21"/>
          <w:lang w:eastAsia="ru-RU"/>
        </w:rPr>
        <w:br/>
        <w:t>Вводится обязательное условие договора подряда о гарантийном сроке по аналогии с проведением капремонта региональным оператором.</w:t>
      </w:r>
      <w:r w:rsidRPr="000A4CEA">
        <w:rPr>
          <w:rFonts w:ascii="Arial" w:eastAsia="Times New Roman" w:hAnsi="Arial" w:cs="Arial"/>
          <w:color w:val="000000"/>
          <w:sz w:val="21"/>
          <w:szCs w:val="21"/>
          <w:lang w:eastAsia="ru-RU"/>
        </w:rPr>
        <w:br/>
        <w:t>Устанавливаются исключения из общего срока вступления в силу решения о прекращении формирования фонда капремонта на счете регионального оператора и формировании такого фонда на специальном счете. Также закрепляется, что региональный оператор не может быть признан несостоятельным (банкротом).</w:t>
      </w:r>
    </w:p>
    <w:p w:rsidR="00575D94" w:rsidRPr="000A4CEA" w:rsidRDefault="00575D94" w:rsidP="00575D94">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ru-RU"/>
        </w:rPr>
      </w:pPr>
      <w:bookmarkStart w:id="0" w:name="_GoBack"/>
      <w:bookmarkEnd w:id="0"/>
    </w:p>
    <w:p w:rsidR="00880CF8" w:rsidRDefault="00880CF8"/>
    <w:sectPr w:rsidR="00880CF8" w:rsidSect="00BC347D">
      <w:headerReference w:type="default" r:id="rId9"/>
      <w:footerReference w:type="default" r:id="rId10"/>
      <w:headerReference w:type="first" r:id="rId11"/>
      <w:footerReference w:type="first" r:id="rId12"/>
      <w:pgSz w:w="11906" w:h="16838" w:code="9"/>
      <w:pgMar w:top="1134" w:right="567" w:bottom="709" w:left="1134" w:header="170"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B91E38"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B91E38" w:rsidP="00FD30A2">
    <w:pPr>
      <w:spacing w:after="0" w:line="240" w:lineRule="auto"/>
      <w:jc w:val="center"/>
      <w:rPr>
        <w:rFonts w:ascii="Times New Roman" w:hAnsi="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B91E38">
    <w:pPr>
      <w:pStyle w:val="a3"/>
      <w:rPr>
        <w:noProof/>
        <w:lang w:eastAsia="ru-RU"/>
      </w:rPr>
    </w:pPr>
  </w:p>
  <w:p w:rsidR="003F1927" w:rsidRDefault="00B91E38">
    <w:pPr>
      <w:pStyle w:val="a3"/>
    </w:pPr>
  </w:p>
  <w:p w:rsidR="003F1927" w:rsidRDefault="00B91E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27" w:rsidRDefault="00B91E38" w:rsidP="008411E8">
    <w:pPr>
      <w:pStyle w:val="a3"/>
      <w:tabs>
        <w:tab w:val="left" w:pos="426"/>
      </w:tabs>
      <w:ind w:left="142" w:firstLine="567"/>
      <w:jc w:val="center"/>
    </w:pPr>
  </w:p>
  <w:tbl>
    <w:tblPr>
      <w:tblW w:w="9639" w:type="dxa"/>
      <w:tblInd w:w="709" w:type="dxa"/>
      <w:tblLayout w:type="fixed"/>
      <w:tblLook w:val="04A0" w:firstRow="1" w:lastRow="0" w:firstColumn="1" w:lastColumn="0" w:noHBand="0" w:noVBand="1"/>
    </w:tblPr>
    <w:tblGrid>
      <w:gridCol w:w="4111"/>
      <w:gridCol w:w="1559"/>
      <w:gridCol w:w="3969"/>
    </w:tblGrid>
    <w:tr w:rsidR="00DF7BD7" w:rsidRPr="003C122E" w:rsidTr="003C122E">
      <w:tc>
        <w:tcPr>
          <w:tcW w:w="4111" w:type="dxa"/>
        </w:tcPr>
        <w:p w:rsidR="00DF7BD7" w:rsidRPr="003C122E" w:rsidRDefault="00B91E38" w:rsidP="003C122E">
          <w:pPr>
            <w:tabs>
              <w:tab w:val="left" w:pos="709"/>
            </w:tabs>
            <w:spacing w:after="0" w:line="240" w:lineRule="auto"/>
            <w:ind w:left="34" w:hanging="34"/>
            <w:jc w:val="right"/>
            <w:rPr>
              <w:noProof/>
              <w:sz w:val="18"/>
              <w:szCs w:val="18"/>
              <w:lang w:eastAsia="ru-RU"/>
            </w:rPr>
          </w:pPr>
        </w:p>
        <w:p w:rsidR="00DF7BD7" w:rsidRPr="003C122E" w:rsidRDefault="00B91E38" w:rsidP="003C122E">
          <w:pPr>
            <w:tabs>
              <w:tab w:val="left" w:pos="709"/>
            </w:tabs>
            <w:spacing w:after="0" w:line="240" w:lineRule="auto"/>
            <w:rPr>
              <w:noProof/>
              <w:sz w:val="18"/>
              <w:szCs w:val="18"/>
              <w:lang w:eastAsia="ru-RU"/>
            </w:rPr>
          </w:pPr>
        </w:p>
        <w:p w:rsidR="00E7787D" w:rsidRPr="003C122E" w:rsidRDefault="00B91E38" w:rsidP="003C122E">
          <w:pPr>
            <w:tabs>
              <w:tab w:val="left" w:pos="248"/>
              <w:tab w:val="left" w:pos="709"/>
            </w:tabs>
            <w:spacing w:after="0" w:line="240" w:lineRule="auto"/>
            <w:ind w:left="-108" w:firstLine="108"/>
            <w:jc w:val="center"/>
            <w:rPr>
              <w:rFonts w:ascii="Times New Roman" w:hAnsi="Times New Roman"/>
              <w:b/>
              <w:bCs/>
              <w:sz w:val="18"/>
              <w:szCs w:val="18"/>
            </w:rPr>
          </w:pPr>
          <w:r w:rsidRPr="003C122E">
            <w:rPr>
              <w:rFonts w:ascii="Times New Roman" w:hAnsi="Times New Roman"/>
              <w:b/>
              <w:bCs/>
              <w:sz w:val="18"/>
              <w:szCs w:val="18"/>
            </w:rPr>
            <w:t>НЕКОММЕРЧЕСКАЯ ОРГАНИЗАЦИЯ – ФОНД «РЕГИОНАЛЬНЫЙ ОПЕРАТОР</w:t>
          </w:r>
        </w:p>
        <w:p w:rsidR="003F6D8D" w:rsidRPr="003C122E" w:rsidRDefault="00B91E38" w:rsidP="003C122E">
          <w:pPr>
            <w:tabs>
              <w:tab w:val="left" w:pos="248"/>
              <w:tab w:val="left" w:pos="709"/>
            </w:tabs>
            <w:spacing w:after="0" w:line="240" w:lineRule="auto"/>
            <w:ind w:left="-108" w:firstLine="108"/>
            <w:jc w:val="center"/>
            <w:rPr>
              <w:rFonts w:ascii="Times New Roman" w:hAnsi="Times New Roman"/>
              <w:b/>
              <w:bCs/>
              <w:sz w:val="18"/>
              <w:szCs w:val="18"/>
            </w:rPr>
          </w:pPr>
          <w:r w:rsidRPr="003C122E">
            <w:rPr>
              <w:rFonts w:ascii="Times New Roman" w:hAnsi="Times New Roman"/>
              <w:b/>
              <w:bCs/>
              <w:sz w:val="18"/>
              <w:szCs w:val="18"/>
            </w:rPr>
            <w:t>ПО ПРОВЕДЕНИЮ КАПИТАЛЬНОГО РЕМОНТА МНОГОКВАРТИРНЫХ</w:t>
          </w:r>
          <w:r w:rsidRPr="003C122E">
            <w:rPr>
              <w:rFonts w:ascii="Times New Roman" w:hAnsi="Times New Roman"/>
              <w:b/>
              <w:bCs/>
              <w:sz w:val="18"/>
              <w:szCs w:val="18"/>
            </w:rPr>
            <w:t xml:space="preserve"> ДОМОВ ЕВРЕЙСКОЙ АВТОНОМНОЙ ОБЛАСТИ»</w:t>
          </w:r>
        </w:p>
      </w:tc>
      <w:tc>
        <w:tcPr>
          <w:tcW w:w="1559" w:type="dxa"/>
        </w:tcPr>
        <w:p w:rsidR="003F6D8D" w:rsidRPr="003C122E" w:rsidRDefault="00575D94" w:rsidP="003C122E">
          <w:pPr>
            <w:tabs>
              <w:tab w:val="left" w:pos="709"/>
            </w:tabs>
            <w:spacing w:after="0" w:line="240" w:lineRule="auto"/>
            <w:ind w:left="-108"/>
            <w:rPr>
              <w:rFonts w:ascii="Times New Roman" w:hAnsi="Times New Roman"/>
              <w:b/>
              <w:bCs/>
              <w:sz w:val="18"/>
              <w:szCs w:val="18"/>
            </w:rPr>
          </w:pPr>
          <w:r>
            <w:rPr>
              <w:noProof/>
              <w:sz w:val="18"/>
              <w:szCs w:val="18"/>
              <w:lang w:eastAsia="ru-RU"/>
            </w:rPr>
            <w:drawing>
              <wp:inline distT="0" distB="0" distL="0" distR="0" wp14:anchorId="5EDC6613" wp14:editId="4844D832">
                <wp:extent cx="926465" cy="122301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223010"/>
                        </a:xfrm>
                        <a:prstGeom prst="rect">
                          <a:avLst/>
                        </a:prstGeom>
                        <a:noFill/>
                        <a:ln>
                          <a:noFill/>
                        </a:ln>
                      </pic:spPr>
                    </pic:pic>
                  </a:graphicData>
                </a:graphic>
              </wp:inline>
            </w:drawing>
          </w:r>
        </w:p>
      </w:tc>
      <w:tc>
        <w:tcPr>
          <w:tcW w:w="3969" w:type="dxa"/>
        </w:tcPr>
        <w:p w:rsidR="003F6D8D" w:rsidRPr="003C122E" w:rsidRDefault="00B91E38" w:rsidP="003C122E">
          <w:pPr>
            <w:tabs>
              <w:tab w:val="left" w:pos="709"/>
            </w:tabs>
            <w:spacing w:after="0" w:line="240" w:lineRule="auto"/>
            <w:ind w:left="-108"/>
            <w:jc w:val="center"/>
            <w:rPr>
              <w:rFonts w:ascii="Times New Roman" w:hAnsi="Times New Roman"/>
              <w:b/>
              <w:bCs/>
              <w:sz w:val="18"/>
              <w:szCs w:val="18"/>
            </w:rPr>
          </w:pPr>
        </w:p>
        <w:p w:rsidR="00DF7BD7" w:rsidRPr="003C122E" w:rsidRDefault="00B91E38" w:rsidP="003C122E">
          <w:pPr>
            <w:tabs>
              <w:tab w:val="left" w:pos="709"/>
            </w:tabs>
            <w:spacing w:after="0" w:line="240" w:lineRule="auto"/>
            <w:rPr>
              <w:rFonts w:ascii="Times New Roman" w:hAnsi="Times New Roman"/>
              <w:b/>
              <w:bCs/>
              <w:sz w:val="18"/>
              <w:szCs w:val="18"/>
            </w:rPr>
          </w:pPr>
        </w:p>
        <w:p w:rsidR="003F6D8D" w:rsidRPr="003C122E" w:rsidRDefault="00575D94" w:rsidP="003C122E">
          <w:pPr>
            <w:spacing w:after="0" w:line="240" w:lineRule="auto"/>
            <w:rPr>
              <w:rFonts w:ascii="Times New Roman" w:hAnsi="Times New Roman"/>
              <w:b/>
              <w:bCs/>
              <w:sz w:val="18"/>
              <w:szCs w:val="18"/>
            </w:rPr>
          </w:pPr>
          <w:r>
            <w:rPr>
              <w:noProof/>
              <w:sz w:val="18"/>
              <w:szCs w:val="18"/>
              <w:lang w:eastAsia="ru-RU"/>
            </w:rPr>
            <w:drawing>
              <wp:inline distT="0" distB="0" distL="0" distR="0" wp14:anchorId="1426C238" wp14:editId="2DF59FD5">
                <wp:extent cx="2113915" cy="664845"/>
                <wp:effectExtent l="0" t="0" r="63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915" cy="664845"/>
                        </a:xfrm>
                        <a:prstGeom prst="rect">
                          <a:avLst/>
                        </a:prstGeom>
                        <a:noFill/>
                        <a:ln>
                          <a:noFill/>
                        </a:ln>
                      </pic:spPr>
                    </pic:pic>
                  </a:graphicData>
                </a:graphic>
              </wp:inline>
            </w:drawing>
          </w:r>
        </w:p>
      </w:tc>
    </w:tr>
  </w:tbl>
  <w:p w:rsidR="007742DD" w:rsidRDefault="00B91E38"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hAnsi="Times New Roman"/>
        <w:sz w:val="18"/>
        <w:szCs w:val="18"/>
      </w:rPr>
      <w:t xml:space="preserve">НКО </w:t>
    </w:r>
    <w:r>
      <w:rPr>
        <w:rFonts w:ascii="Times New Roman" w:hAnsi="Times New Roman"/>
        <w:sz w:val="18"/>
        <w:szCs w:val="18"/>
      </w:rPr>
      <w:t xml:space="preserve">«РОКР» </w:t>
    </w:r>
    <w:r w:rsidRPr="00860147">
      <w:rPr>
        <w:rFonts w:ascii="Times New Roman" w:hAnsi="Times New Roman"/>
        <w:sz w:val="20"/>
        <w:szCs w:val="20"/>
      </w:rPr>
      <w:t>ИНН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B91E38" w:rsidP="002F5FC9">
    <w:pPr>
      <w:spacing w:after="0" w:line="240" w:lineRule="auto"/>
      <w:jc w:val="center"/>
      <w:rPr>
        <w:rFonts w:ascii="Times New Roman" w:hAnsi="Times New Roman"/>
        <w:sz w:val="20"/>
        <w:szCs w:val="20"/>
      </w:rPr>
    </w:pPr>
    <w:r w:rsidRPr="002D6DAB">
      <w:rPr>
        <w:rFonts w:ascii="Times New Roman" w:hAnsi="Times New Roman"/>
        <w:sz w:val="20"/>
        <w:szCs w:val="20"/>
      </w:rPr>
      <w:t>679016, г. Биробиджан, ул. Шолом-Алейхема, 25</w:t>
    </w:r>
  </w:p>
  <w:p w:rsidR="002F5FC9" w:rsidRPr="002D6DAB" w:rsidRDefault="00B91E38" w:rsidP="002F5FC9">
    <w:pPr>
      <w:spacing w:after="0" w:line="240" w:lineRule="auto"/>
      <w:jc w:val="center"/>
      <w:rPr>
        <w:rFonts w:ascii="Times New Roman" w:hAnsi="Times New Roman"/>
        <w:sz w:val="20"/>
        <w:szCs w:val="20"/>
      </w:rPr>
    </w:pPr>
    <w:r w:rsidRPr="002D6DAB">
      <w:rPr>
        <w:rFonts w:ascii="Times New Roman" w:hAnsi="Times New Roman"/>
        <w:sz w:val="20"/>
        <w:szCs w:val="20"/>
      </w:rPr>
      <w:t>Тел</w:t>
    </w:r>
    <w:r>
      <w:rPr>
        <w:rFonts w:ascii="Times New Roman" w:hAnsi="Times New Roman"/>
        <w:sz w:val="20"/>
        <w:szCs w:val="20"/>
      </w:rPr>
      <w:t>/факс:</w:t>
    </w:r>
    <w:r w:rsidRPr="002D6DAB">
      <w:rPr>
        <w:rFonts w:ascii="Times New Roman" w:hAnsi="Times New Roman"/>
        <w:sz w:val="20"/>
        <w:szCs w:val="20"/>
      </w:rPr>
      <w:t xml:space="preserve"> 8 (42622) 2-14-07</w:t>
    </w:r>
  </w:p>
  <w:p w:rsidR="002F5FC9" w:rsidRDefault="00B91E38"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proofErr w:type="gramStart"/>
    <w:r w:rsidRPr="002D6DAB">
      <w:rPr>
        <w:rFonts w:ascii="Times New Roman" w:hAnsi="Times New Roman"/>
        <w:sz w:val="20"/>
        <w:szCs w:val="20"/>
      </w:rPr>
      <w:t>Е</w:t>
    </w:r>
    <w:proofErr w:type="gramEnd"/>
    <w:r w:rsidRPr="002D6DAB">
      <w:rPr>
        <w:rFonts w:ascii="Times New Roman" w:hAnsi="Times New Roman"/>
        <w:sz w:val="20"/>
        <w:szCs w:val="20"/>
        <w:lang w:val="en-US"/>
      </w:rPr>
      <w:t>mail</w:t>
    </w:r>
    <w:r w:rsidRPr="002D6DAB">
      <w:rPr>
        <w:rFonts w:ascii="Times New Roman" w:hAnsi="Times New Roman"/>
        <w:sz w:val="20"/>
        <w:szCs w:val="20"/>
      </w:rPr>
      <w:t xml:space="preserve">: </w:t>
    </w:r>
    <w:hyperlink r:id="rId3" w:history="1">
      <w:r w:rsidRPr="002D6DAB">
        <w:rPr>
          <w:rFonts w:ascii="Times New Roman" w:hAnsi="Times New Roman"/>
          <w:sz w:val="20"/>
          <w:szCs w:val="20"/>
          <w:lang w:val="en-US"/>
        </w:rPr>
        <w:t>nkoregop</w:t>
      </w:r>
      <w:r w:rsidRPr="002D6DAB">
        <w:rPr>
          <w:rFonts w:ascii="Times New Roman" w:hAnsi="Times New Roman"/>
          <w:sz w:val="20"/>
          <w:szCs w:val="20"/>
        </w:rPr>
        <w:t>.</w:t>
      </w:r>
      <w:r w:rsidRPr="002D6DAB">
        <w:rPr>
          <w:rFonts w:ascii="Times New Roman" w:hAnsi="Times New Roman"/>
          <w:sz w:val="20"/>
          <w:szCs w:val="20"/>
          <w:lang w:val="en-US"/>
        </w:rPr>
        <w:t>eao</w:t>
      </w:r>
      <w:r w:rsidRPr="002D6DAB">
        <w:rPr>
          <w:rFonts w:ascii="Times New Roman" w:hAnsi="Times New Roman"/>
          <w:sz w:val="20"/>
          <w:szCs w:val="20"/>
        </w:rPr>
        <w:t>@</w:t>
      </w:r>
      <w:r w:rsidRPr="002D6DAB">
        <w:rPr>
          <w:rFonts w:ascii="Times New Roman" w:hAnsi="Times New Roman"/>
          <w:sz w:val="20"/>
          <w:szCs w:val="20"/>
          <w:lang w:val="en-US"/>
        </w:rPr>
        <w:t>mail</w:t>
      </w:r>
      <w:r w:rsidRPr="002D6DAB">
        <w:rPr>
          <w:rFonts w:ascii="Times New Roman" w:hAnsi="Times New Roman"/>
          <w:sz w:val="20"/>
          <w:szCs w:val="20"/>
        </w:rPr>
        <w:t>.</w:t>
      </w:r>
      <w:r w:rsidRPr="002D6DAB">
        <w:rPr>
          <w:rFonts w:ascii="Times New Roman" w:hAnsi="Times New Roman"/>
          <w:sz w:val="20"/>
          <w:szCs w:val="20"/>
          <w:lang w:val="en-US"/>
        </w:rPr>
        <w:t>ru</w:t>
      </w:r>
    </w:hyperlink>
  </w:p>
  <w:p w:rsidR="002F5FC9" w:rsidRDefault="00B91E38" w:rsidP="00E7787D">
    <w:pPr>
      <w:pBdr>
        <w:bottom w:val="single" w:sz="12" w:space="1" w:color="auto"/>
      </w:pBdr>
      <w:spacing w:after="0" w:line="240" w:lineRule="auto"/>
      <w:ind w:hanging="14"/>
      <w:jc w:val="center"/>
      <w:rPr>
        <w:rFonts w:ascii="Times New Roman" w:hAnsi="Times New Roman"/>
        <w:sz w:val="20"/>
        <w:szCs w:val="20"/>
      </w:rPr>
    </w:pPr>
  </w:p>
  <w:p w:rsidR="007742DD" w:rsidRDefault="00B91E38" w:rsidP="00DF7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95"/>
    <w:rsid w:val="00575D94"/>
    <w:rsid w:val="00854895"/>
    <w:rsid w:val="00880CF8"/>
    <w:rsid w:val="00B91E38"/>
    <w:rsid w:val="00BC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9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D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D94"/>
    <w:rPr>
      <w:rFonts w:ascii="Calibri" w:eastAsia="Calibri" w:hAnsi="Calibri" w:cs="Times New Roman"/>
    </w:rPr>
  </w:style>
  <w:style w:type="paragraph" w:styleId="a5">
    <w:name w:val="footer"/>
    <w:basedOn w:val="a"/>
    <w:link w:val="a6"/>
    <w:uiPriority w:val="99"/>
    <w:unhideWhenUsed/>
    <w:rsid w:val="00575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D94"/>
    <w:rPr>
      <w:rFonts w:ascii="Calibri" w:eastAsia="Calibri" w:hAnsi="Calibri" w:cs="Times New Roman"/>
    </w:rPr>
  </w:style>
  <w:style w:type="paragraph" w:styleId="a7">
    <w:name w:val="Balloon Text"/>
    <w:basedOn w:val="a"/>
    <w:link w:val="a8"/>
    <w:uiPriority w:val="99"/>
    <w:semiHidden/>
    <w:unhideWhenUsed/>
    <w:rsid w:val="00575D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D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9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D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D94"/>
    <w:rPr>
      <w:rFonts w:ascii="Calibri" w:eastAsia="Calibri" w:hAnsi="Calibri" w:cs="Times New Roman"/>
    </w:rPr>
  </w:style>
  <w:style w:type="paragraph" w:styleId="a5">
    <w:name w:val="footer"/>
    <w:basedOn w:val="a"/>
    <w:link w:val="a6"/>
    <w:uiPriority w:val="99"/>
    <w:unhideWhenUsed/>
    <w:rsid w:val="00575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D94"/>
    <w:rPr>
      <w:rFonts w:ascii="Calibri" w:eastAsia="Calibri" w:hAnsi="Calibri" w:cs="Times New Roman"/>
    </w:rPr>
  </w:style>
  <w:style w:type="paragraph" w:styleId="a7">
    <w:name w:val="Balloon Text"/>
    <w:basedOn w:val="a"/>
    <w:link w:val="a8"/>
    <w:uiPriority w:val="99"/>
    <w:semiHidden/>
    <w:unhideWhenUsed/>
    <w:rsid w:val="00575D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D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eader" Target="head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3</cp:revision>
  <dcterms:created xsi:type="dcterms:W3CDTF">2017-12-12T00:11:00Z</dcterms:created>
  <dcterms:modified xsi:type="dcterms:W3CDTF">2017-12-12T00:16:00Z</dcterms:modified>
</cp:coreProperties>
</file>