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5AA" w:rsidRDefault="00A615AA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  <w:bookmarkStart w:id="0" w:name="_GoBack"/>
      <w:bookmarkEnd w:id="0"/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A615AA" w:rsidRPr="0035717C" w:rsidRDefault="00A615AA" w:rsidP="00A615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15AA" w:rsidRPr="0035717C" w:rsidRDefault="00B65A44" w:rsidP="00A615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05.06.2019</w:t>
      </w:r>
      <w:r w:rsidR="00A615AA" w:rsidRPr="0035717C">
        <w:rPr>
          <w:rFonts w:ascii="Times New Roman" w:hAnsi="Times New Roman" w:cs="Times New Roman"/>
          <w:sz w:val="28"/>
          <w:szCs w:val="28"/>
        </w:rPr>
        <w:tab/>
      </w:r>
      <w:r w:rsidR="00A615AA" w:rsidRPr="0035717C">
        <w:rPr>
          <w:rFonts w:ascii="Times New Roman" w:hAnsi="Times New Roman" w:cs="Times New Roman"/>
          <w:sz w:val="28"/>
          <w:szCs w:val="28"/>
        </w:rPr>
        <w:tab/>
      </w:r>
      <w:r w:rsidR="00A615AA" w:rsidRPr="0035717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303</w:t>
      </w: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7C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15AA" w:rsidRPr="0035717C" w:rsidRDefault="00A615AA" w:rsidP="00A615AA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p w:rsidR="00A615AA" w:rsidRPr="0035717C" w:rsidRDefault="00A615AA" w:rsidP="00A615AA">
      <w:pPr>
        <w:tabs>
          <w:tab w:val="left" w:pos="20935"/>
          <w:tab w:val="left" w:pos="21943"/>
        </w:tabs>
        <w:spacing w:after="0" w:line="240" w:lineRule="auto"/>
        <w:jc w:val="both"/>
        <w:rPr>
          <w:rFonts w:ascii="Times New Roman" w:hAnsi="Times New Roman" w:cs="Times New Roman"/>
          <w:sz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инвестиционной декларации</w:t>
      </w:r>
      <w:r w:rsidRPr="0035717C">
        <w:rPr>
          <w:rFonts w:ascii="Times New Roman" w:hAnsi="Times New Roman" w:cs="Times New Roman"/>
          <w:sz w:val="28"/>
          <w:lang w:eastAsia="ru-RU" w:bidi="ru-RU"/>
        </w:rPr>
        <w:t xml:space="preserve"> муниципально</w:t>
      </w:r>
      <w:r w:rsidR="00376951">
        <w:rPr>
          <w:rFonts w:ascii="Times New Roman" w:hAnsi="Times New Roman" w:cs="Times New Roman"/>
          <w:sz w:val="28"/>
          <w:lang w:eastAsia="ru-RU" w:bidi="ru-RU"/>
        </w:rPr>
        <w:t>го</w:t>
      </w:r>
      <w:r w:rsidRPr="0035717C">
        <w:rPr>
          <w:rFonts w:ascii="Times New Roman" w:hAnsi="Times New Roman" w:cs="Times New Roman"/>
          <w:sz w:val="28"/>
          <w:lang w:eastAsia="ru-RU" w:bidi="ru-RU"/>
        </w:rPr>
        <w:t xml:space="preserve"> образовани</w:t>
      </w:r>
      <w:r w:rsidR="00376951">
        <w:rPr>
          <w:rFonts w:ascii="Times New Roman" w:hAnsi="Times New Roman" w:cs="Times New Roman"/>
          <w:sz w:val="28"/>
          <w:lang w:eastAsia="ru-RU" w:bidi="ru-RU"/>
        </w:rPr>
        <w:t>я</w:t>
      </w:r>
      <w:r w:rsidRPr="0035717C">
        <w:rPr>
          <w:rFonts w:ascii="Times New Roman" w:hAnsi="Times New Roman" w:cs="Times New Roman"/>
          <w:sz w:val="28"/>
          <w:lang w:eastAsia="ru-RU" w:bidi="ru-RU"/>
        </w:rPr>
        <w:t xml:space="preserve"> «Смидовичский муниципальный район»</w:t>
      </w:r>
    </w:p>
    <w:p w:rsidR="00A615AA" w:rsidRPr="0035717C" w:rsidRDefault="00A615AA" w:rsidP="00A61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5AA" w:rsidRPr="0035717C" w:rsidRDefault="00A615AA" w:rsidP="00A6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В соответствии  с постановление губернатора </w:t>
      </w:r>
      <w:r w:rsidR="00376951">
        <w:rPr>
          <w:rFonts w:ascii="Times New Roman" w:eastAsia="Times New Roman" w:hAnsi="Times New Roman" w:cs="Calibri"/>
          <w:sz w:val="28"/>
          <w:szCs w:val="28"/>
          <w:lang w:eastAsia="ru-RU"/>
        </w:rPr>
        <w:t>Еврейской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автономной области от 29.05.2019 № 135 «Об инвестиционной привлекательности муниципальных районов</w:t>
      </w:r>
      <w:r w:rsidR="0037695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и городского округа Еврейской а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втономной о</w:t>
      </w:r>
      <w:r w:rsidR="00376951">
        <w:rPr>
          <w:rFonts w:ascii="Times New Roman" w:eastAsia="Times New Roman" w:hAnsi="Times New Roman" w:cs="Calibri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ласти»</w:t>
      </w:r>
      <w:r w:rsidR="0037695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и в</w:t>
      </w:r>
      <w:r w:rsidRPr="0035717C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целях улучшения инвестиционного климата на территории муниципального образования «Смидовичский муниципальный район» администрация муниципального района </w:t>
      </w:r>
    </w:p>
    <w:p w:rsidR="00A615AA" w:rsidRPr="0035717C" w:rsidRDefault="00A615AA" w:rsidP="00A61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5717C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ПОСТАНОВЛЯЕТ:</w:t>
      </w:r>
    </w:p>
    <w:p w:rsidR="00A615AA" w:rsidRPr="0035717C" w:rsidRDefault="00A615AA" w:rsidP="00A615AA">
      <w:pPr>
        <w:tabs>
          <w:tab w:val="left" w:pos="20935"/>
          <w:tab w:val="left" w:pos="219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 w:bidi="ru-RU"/>
        </w:rPr>
      </w:pPr>
      <w:bookmarkStart w:id="1" w:name="P18"/>
      <w:bookmarkEnd w:id="1"/>
      <w:r w:rsidRPr="0035717C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376951">
        <w:rPr>
          <w:rFonts w:ascii="Times New Roman" w:hAnsi="Times New Roman" w:cs="Times New Roman"/>
          <w:sz w:val="28"/>
          <w:szCs w:val="28"/>
        </w:rPr>
        <w:t>Утвердить прилагаемую инвестиционную декларацию</w:t>
      </w:r>
      <w:r w:rsidR="00376951" w:rsidRPr="00376951">
        <w:rPr>
          <w:rFonts w:ascii="Times New Roman" w:hAnsi="Times New Roman" w:cs="Times New Roman"/>
          <w:sz w:val="28"/>
          <w:lang w:eastAsia="ru-RU" w:bidi="ru-RU"/>
        </w:rPr>
        <w:t xml:space="preserve"> 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>муниципально</w:t>
      </w:r>
      <w:r w:rsidR="00376951">
        <w:rPr>
          <w:rFonts w:ascii="Times New Roman" w:hAnsi="Times New Roman" w:cs="Times New Roman"/>
          <w:sz w:val="28"/>
          <w:lang w:eastAsia="ru-RU" w:bidi="ru-RU"/>
        </w:rPr>
        <w:t>го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 xml:space="preserve"> образовани</w:t>
      </w:r>
      <w:r w:rsidR="00376951">
        <w:rPr>
          <w:rFonts w:ascii="Times New Roman" w:hAnsi="Times New Roman" w:cs="Times New Roman"/>
          <w:sz w:val="28"/>
          <w:lang w:eastAsia="ru-RU" w:bidi="ru-RU"/>
        </w:rPr>
        <w:t>я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 xml:space="preserve"> «Смидовичский муниципальный район»</w:t>
      </w:r>
      <w:r w:rsidRPr="0035717C">
        <w:rPr>
          <w:rFonts w:ascii="Times New Roman" w:hAnsi="Times New Roman" w:cs="Times New Roman"/>
          <w:sz w:val="28"/>
          <w:lang w:eastAsia="ru-RU" w:bidi="ru-RU"/>
        </w:rPr>
        <w:t>.</w:t>
      </w:r>
    </w:p>
    <w:p w:rsidR="00A615AA" w:rsidRPr="0035717C" w:rsidRDefault="00A615AA" w:rsidP="00376951">
      <w:pPr>
        <w:tabs>
          <w:tab w:val="left" w:pos="20935"/>
          <w:tab w:val="left" w:pos="219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17C">
        <w:rPr>
          <w:rFonts w:ascii="Times New Roman" w:hAnsi="Times New Roman" w:cs="Times New Roman"/>
          <w:sz w:val="28"/>
          <w:lang w:eastAsia="ru-RU" w:bidi="ru-RU"/>
        </w:rPr>
        <w:t xml:space="preserve">2. </w:t>
      </w:r>
      <w:r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постановления возложить на заместителя главы администрации муниципального образования</w:t>
      </w:r>
      <w:r w:rsidR="003769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председателя комитета по управлению муниципальным имуществом</w:t>
      </w:r>
      <w:r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69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Федоренкову Е.В.</w:t>
      </w:r>
    </w:p>
    <w:p w:rsidR="00A615AA" w:rsidRPr="0035717C" w:rsidRDefault="00376951" w:rsidP="00A615A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615AA"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«Районный вестнике»</w:t>
      </w:r>
    </w:p>
    <w:p w:rsidR="00A615AA" w:rsidRPr="0035717C" w:rsidRDefault="00376951" w:rsidP="00A615A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615AA" w:rsidRPr="0035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вступает в силу со дня его подписания. </w:t>
      </w:r>
    </w:p>
    <w:p w:rsidR="00A615AA" w:rsidRPr="0035717C" w:rsidRDefault="00A615AA" w:rsidP="00A615A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615AA" w:rsidRPr="0035717C" w:rsidRDefault="00A615AA" w:rsidP="00A615A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A615AA" w:rsidRPr="0035717C" w:rsidRDefault="00A615AA" w:rsidP="00A615AA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tbl>
      <w:tblPr>
        <w:tblW w:w="98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A615AA" w:rsidRPr="0035717C" w:rsidTr="00C7382E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5AA" w:rsidRPr="0035717C" w:rsidRDefault="00A615AA" w:rsidP="00C738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  <w:p w:rsidR="00A615AA" w:rsidRPr="0035717C" w:rsidRDefault="00A615AA" w:rsidP="00C738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15AA" w:rsidRPr="0035717C" w:rsidRDefault="00A615AA" w:rsidP="00C738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5AA" w:rsidRPr="0035717C" w:rsidRDefault="00A615AA" w:rsidP="00C738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615AA" w:rsidRPr="0035717C" w:rsidRDefault="00A615AA" w:rsidP="00C738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Шупиков</w:t>
            </w:r>
          </w:p>
        </w:tc>
      </w:tr>
    </w:tbl>
    <w:p w:rsidR="00A615AA" w:rsidRPr="0035717C" w:rsidRDefault="00A615AA" w:rsidP="00A615AA"/>
    <w:p w:rsidR="00A615AA" w:rsidRPr="0035717C" w:rsidRDefault="00A615AA" w:rsidP="00A615AA"/>
    <w:p w:rsidR="00A615AA" w:rsidRPr="0035717C" w:rsidRDefault="00A615AA" w:rsidP="00A615AA"/>
    <w:p w:rsidR="00A615AA" w:rsidRDefault="00A615AA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A615AA" w:rsidRDefault="00A615AA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305"/>
        <w:gridCol w:w="4252"/>
      </w:tblGrid>
      <w:tr w:rsidR="00376951" w:rsidTr="00376951">
        <w:tc>
          <w:tcPr>
            <w:tcW w:w="3190" w:type="dxa"/>
          </w:tcPr>
          <w:p w:rsidR="00376951" w:rsidRDefault="00376951" w:rsidP="0047059D">
            <w:pPr>
              <w:pStyle w:val="rtecenter"/>
              <w:spacing w:before="0" w:beforeAutospacing="0" w:after="0" w:afterAutospacing="0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305" w:type="dxa"/>
          </w:tcPr>
          <w:p w:rsidR="00376951" w:rsidRDefault="00376951" w:rsidP="0047059D">
            <w:pPr>
              <w:pStyle w:val="rtecenter"/>
              <w:spacing w:before="0" w:beforeAutospacing="0" w:after="0" w:afterAutospacing="0"/>
              <w:jc w:val="center"/>
              <w:rPr>
                <w:rStyle w:val="a3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:rsidR="00376951" w:rsidRDefault="00376951" w:rsidP="00376951">
            <w:pPr>
              <w:pStyle w:val="rtecenter"/>
              <w:spacing w:before="0" w:beforeAutospacing="0" w:after="0" w:afterAutospacing="0"/>
              <w:rPr>
                <w:rStyle w:val="a3"/>
                <w:b w:val="0"/>
                <w:bCs w:val="0"/>
                <w:sz w:val="28"/>
                <w:szCs w:val="28"/>
              </w:rPr>
            </w:pPr>
            <w:r>
              <w:rPr>
                <w:rStyle w:val="a3"/>
                <w:b w:val="0"/>
                <w:bCs w:val="0"/>
                <w:sz w:val="28"/>
                <w:szCs w:val="28"/>
              </w:rPr>
              <w:t>ПРИЛОЖЕНИЕ</w:t>
            </w:r>
          </w:p>
          <w:p w:rsidR="00376951" w:rsidRDefault="00376951" w:rsidP="00376951">
            <w:pPr>
              <w:pStyle w:val="rtecenter"/>
              <w:spacing w:before="0" w:beforeAutospacing="0" w:after="0" w:afterAutospacing="0"/>
              <w:rPr>
                <w:rStyle w:val="a3"/>
                <w:b w:val="0"/>
                <w:bCs w:val="0"/>
                <w:sz w:val="28"/>
                <w:szCs w:val="28"/>
              </w:rPr>
            </w:pPr>
          </w:p>
          <w:p w:rsidR="00376951" w:rsidRDefault="00376951" w:rsidP="00376951">
            <w:pPr>
              <w:pStyle w:val="rtecenter"/>
              <w:spacing w:before="0" w:beforeAutospacing="0" w:after="0" w:afterAutospacing="0"/>
              <w:rPr>
                <w:rStyle w:val="a3"/>
                <w:b w:val="0"/>
                <w:bCs w:val="0"/>
                <w:sz w:val="28"/>
                <w:szCs w:val="28"/>
              </w:rPr>
            </w:pPr>
            <w:r>
              <w:rPr>
                <w:rStyle w:val="a3"/>
                <w:b w:val="0"/>
                <w:bCs w:val="0"/>
                <w:sz w:val="28"/>
                <w:szCs w:val="28"/>
              </w:rPr>
              <w:t>УТВЕРЖДЕНА</w:t>
            </w:r>
          </w:p>
          <w:p w:rsidR="00376951" w:rsidRDefault="00376951" w:rsidP="00376951">
            <w:pPr>
              <w:pStyle w:val="rtecenter"/>
              <w:spacing w:before="0" w:beforeAutospacing="0" w:after="0" w:afterAutospacing="0"/>
              <w:rPr>
                <w:rStyle w:val="a3"/>
                <w:b w:val="0"/>
                <w:bCs w:val="0"/>
                <w:sz w:val="28"/>
                <w:szCs w:val="28"/>
              </w:rPr>
            </w:pPr>
            <w:r>
              <w:rPr>
                <w:rStyle w:val="a3"/>
                <w:b w:val="0"/>
                <w:bCs w:val="0"/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376951" w:rsidRDefault="00376951" w:rsidP="00376951">
            <w:pPr>
              <w:pStyle w:val="rtecenter"/>
              <w:spacing w:before="0" w:beforeAutospacing="0" w:after="0" w:afterAutospacing="0"/>
              <w:rPr>
                <w:rStyle w:val="a3"/>
                <w:b w:val="0"/>
                <w:bCs w:val="0"/>
                <w:sz w:val="28"/>
                <w:szCs w:val="28"/>
              </w:rPr>
            </w:pPr>
            <w:r>
              <w:rPr>
                <w:rStyle w:val="a3"/>
                <w:b w:val="0"/>
                <w:bCs w:val="0"/>
                <w:sz w:val="28"/>
                <w:szCs w:val="28"/>
              </w:rPr>
              <w:t xml:space="preserve">от_____________№____ </w:t>
            </w:r>
          </w:p>
        </w:tc>
      </w:tr>
    </w:tbl>
    <w:p w:rsidR="00376951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rStyle w:val="a3"/>
          <w:b w:val="0"/>
          <w:bCs w:val="0"/>
          <w:sz w:val="28"/>
          <w:szCs w:val="28"/>
        </w:rPr>
      </w:pPr>
    </w:p>
    <w:p w:rsidR="0047059D" w:rsidRPr="0047059D" w:rsidRDefault="00376951" w:rsidP="0047059D">
      <w:pPr>
        <w:pStyle w:val="rtecenter"/>
        <w:shd w:val="clear" w:color="auto" w:fill="FFFFFF"/>
        <w:spacing w:before="0" w:beforeAutospacing="0" w:after="0" w:afterAutospacing="0"/>
        <w:ind w:firstLine="993"/>
        <w:jc w:val="center"/>
        <w:rPr>
          <w:sz w:val="28"/>
          <w:szCs w:val="28"/>
        </w:rPr>
      </w:pPr>
      <w:r>
        <w:rPr>
          <w:rStyle w:val="a3"/>
          <w:b w:val="0"/>
          <w:bCs w:val="0"/>
          <w:sz w:val="28"/>
          <w:szCs w:val="28"/>
        </w:rPr>
        <w:t>И</w:t>
      </w:r>
      <w:r w:rsidRPr="0047059D">
        <w:rPr>
          <w:rStyle w:val="a3"/>
          <w:b w:val="0"/>
          <w:bCs w:val="0"/>
          <w:sz w:val="28"/>
          <w:szCs w:val="28"/>
        </w:rPr>
        <w:t>нвестиционная декларация</w:t>
      </w:r>
    </w:p>
    <w:p w:rsidR="00376951" w:rsidRPr="0035717C" w:rsidRDefault="00376951" w:rsidP="00376951">
      <w:pPr>
        <w:tabs>
          <w:tab w:val="left" w:pos="20935"/>
          <w:tab w:val="left" w:pos="21943"/>
        </w:tabs>
        <w:spacing w:after="0" w:line="240" w:lineRule="auto"/>
        <w:jc w:val="both"/>
        <w:rPr>
          <w:rFonts w:ascii="Times New Roman" w:hAnsi="Times New Roman" w:cs="Times New Roman"/>
          <w:sz w:val="28"/>
          <w:lang w:eastAsia="ru-RU" w:bidi="ru-RU"/>
        </w:rPr>
      </w:pPr>
      <w:r w:rsidRPr="0035717C">
        <w:rPr>
          <w:rFonts w:ascii="Times New Roman" w:hAnsi="Times New Roman" w:cs="Times New Roman"/>
          <w:sz w:val="28"/>
          <w:lang w:eastAsia="ru-RU" w:bidi="ru-RU"/>
        </w:rPr>
        <w:t>муниципально</w:t>
      </w:r>
      <w:r>
        <w:rPr>
          <w:rFonts w:ascii="Times New Roman" w:hAnsi="Times New Roman" w:cs="Times New Roman"/>
          <w:sz w:val="28"/>
          <w:lang w:eastAsia="ru-RU" w:bidi="ru-RU"/>
        </w:rPr>
        <w:t>го</w:t>
      </w:r>
      <w:r w:rsidRPr="0035717C">
        <w:rPr>
          <w:rFonts w:ascii="Times New Roman" w:hAnsi="Times New Roman" w:cs="Times New Roman"/>
          <w:sz w:val="28"/>
          <w:lang w:eastAsia="ru-RU" w:bidi="ru-RU"/>
        </w:rPr>
        <w:t xml:space="preserve"> образовани</w:t>
      </w:r>
      <w:r>
        <w:rPr>
          <w:rFonts w:ascii="Times New Roman" w:hAnsi="Times New Roman" w:cs="Times New Roman"/>
          <w:sz w:val="28"/>
          <w:lang w:eastAsia="ru-RU" w:bidi="ru-RU"/>
        </w:rPr>
        <w:t>я</w:t>
      </w:r>
      <w:r w:rsidRPr="0035717C">
        <w:rPr>
          <w:rFonts w:ascii="Times New Roman" w:hAnsi="Times New Roman" w:cs="Times New Roman"/>
          <w:sz w:val="28"/>
          <w:lang w:eastAsia="ru-RU" w:bidi="ru-RU"/>
        </w:rPr>
        <w:t xml:space="preserve"> «Смидовичский муниципальный район»</w:t>
      </w:r>
    </w:p>
    <w:p w:rsidR="0047059D" w:rsidRPr="0047059D" w:rsidRDefault="0047059D" w:rsidP="00376951">
      <w:pPr>
        <w:pStyle w:val="rtecenter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1. Общие положения</w:t>
      </w:r>
    </w:p>
    <w:p w:rsidR="0047059D" w:rsidRPr="0047059D" w:rsidRDefault="0047059D" w:rsidP="00F95D06">
      <w:pPr>
        <w:tabs>
          <w:tab w:val="left" w:pos="20935"/>
          <w:tab w:val="left" w:pos="219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59D">
        <w:rPr>
          <w:rFonts w:ascii="Times New Roman" w:hAnsi="Times New Roman" w:cs="Times New Roman"/>
          <w:sz w:val="28"/>
          <w:szCs w:val="28"/>
        </w:rPr>
        <w:t xml:space="preserve">1.1. Инвестиционная декларация 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>муниципально</w:t>
      </w:r>
      <w:r w:rsidR="00376951">
        <w:rPr>
          <w:rFonts w:ascii="Times New Roman" w:hAnsi="Times New Roman" w:cs="Times New Roman"/>
          <w:sz w:val="28"/>
          <w:lang w:eastAsia="ru-RU" w:bidi="ru-RU"/>
        </w:rPr>
        <w:t>го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 xml:space="preserve"> образовани</w:t>
      </w:r>
      <w:r w:rsidR="00376951">
        <w:rPr>
          <w:rFonts w:ascii="Times New Roman" w:hAnsi="Times New Roman" w:cs="Times New Roman"/>
          <w:sz w:val="28"/>
          <w:lang w:eastAsia="ru-RU" w:bidi="ru-RU"/>
        </w:rPr>
        <w:t>я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 xml:space="preserve"> «Смидовичский муниципальный район»</w:t>
      </w:r>
      <w:r w:rsidR="00376951">
        <w:rPr>
          <w:rFonts w:ascii="Times New Roman" w:hAnsi="Times New Roman" w:cs="Times New Roman"/>
          <w:sz w:val="28"/>
          <w:lang w:eastAsia="ru-RU" w:bidi="ru-RU"/>
        </w:rPr>
        <w:t xml:space="preserve"> </w:t>
      </w:r>
      <w:r w:rsidRPr="0047059D">
        <w:rPr>
          <w:rFonts w:ascii="Times New Roman" w:hAnsi="Times New Roman" w:cs="Times New Roman"/>
          <w:sz w:val="28"/>
          <w:szCs w:val="28"/>
        </w:rPr>
        <w:t xml:space="preserve">(далее – Инвестиционная декларация) разработана в целях обеспечения благоприятного инвестиционного климата и создания условий для привлечения инвестиций в экономику 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>муниципально</w:t>
      </w:r>
      <w:r w:rsidR="00376951">
        <w:rPr>
          <w:rFonts w:ascii="Times New Roman" w:hAnsi="Times New Roman" w:cs="Times New Roman"/>
          <w:sz w:val="28"/>
          <w:lang w:eastAsia="ru-RU" w:bidi="ru-RU"/>
        </w:rPr>
        <w:t>го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 xml:space="preserve"> образовани</w:t>
      </w:r>
      <w:r w:rsidR="00376951">
        <w:rPr>
          <w:rFonts w:ascii="Times New Roman" w:hAnsi="Times New Roman" w:cs="Times New Roman"/>
          <w:sz w:val="28"/>
          <w:lang w:eastAsia="ru-RU" w:bidi="ru-RU"/>
        </w:rPr>
        <w:t>я</w:t>
      </w:r>
      <w:r w:rsidR="00376951" w:rsidRPr="0035717C">
        <w:rPr>
          <w:rFonts w:ascii="Times New Roman" w:hAnsi="Times New Roman" w:cs="Times New Roman"/>
          <w:sz w:val="28"/>
          <w:lang w:eastAsia="ru-RU" w:bidi="ru-RU"/>
        </w:rPr>
        <w:t xml:space="preserve"> «Смидовичский муниципальный район»</w:t>
      </w:r>
      <w:r w:rsidR="00376951">
        <w:rPr>
          <w:rFonts w:ascii="Times New Roman" w:hAnsi="Times New Roman" w:cs="Times New Roman"/>
          <w:sz w:val="28"/>
          <w:lang w:eastAsia="ru-RU" w:bidi="ru-RU"/>
        </w:rPr>
        <w:t xml:space="preserve"> </w:t>
      </w:r>
      <w:r w:rsidRPr="0047059D">
        <w:rPr>
          <w:rFonts w:ascii="Times New Roman" w:hAnsi="Times New Roman" w:cs="Times New Roman"/>
          <w:sz w:val="28"/>
          <w:szCs w:val="28"/>
        </w:rPr>
        <w:t>(далее – район).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1.2. Инвестиционная декларация является важной составляющей деятельности органов местного самоуправления района по обеспечению благоприятного инвестиционного климата, позволяет обеспечить субъекты инвестиционной и предпринимательской деятельности полной информацией об инвестиционной политике, осуществляемой на территории района.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 xml:space="preserve">1.3. Порядок взаимодействия с субъектами предпринимательской и инвестиционной деятельности устанавливается в рамках действующего законодательства и осуществляется в соответствии с федеральными законами и иными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Еврейской автономной области</w:t>
      </w:r>
      <w:r w:rsidRPr="0047059D">
        <w:rPr>
          <w:sz w:val="28"/>
          <w:szCs w:val="28"/>
        </w:rPr>
        <w:t xml:space="preserve"> и муниципальными правовыми актами.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 xml:space="preserve">1.4. Ответственность за реализацию отдельных положений Инвестиционной декларации в пределах своих полномочий несут органы и </w:t>
      </w:r>
      <w:r w:rsidRPr="0047059D">
        <w:rPr>
          <w:sz w:val="28"/>
          <w:szCs w:val="28"/>
        </w:rPr>
        <w:lastRenderedPageBreak/>
        <w:t xml:space="preserve">структурные подразделения администрации </w:t>
      </w:r>
      <w:r>
        <w:rPr>
          <w:sz w:val="28"/>
          <w:szCs w:val="28"/>
        </w:rPr>
        <w:t>Смидовичского</w:t>
      </w:r>
      <w:r w:rsidRPr="0047059D">
        <w:rPr>
          <w:sz w:val="28"/>
          <w:szCs w:val="28"/>
        </w:rPr>
        <w:t xml:space="preserve"> муниципального района (далее – администрация района), осуществляющие и содействующие реализации инвестиционных проектов на территории района.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1.5. Информация о результатах и планах инвестиционной и предпринимательской деятельности района формируется ежегодно в «Инвестиционном послании главы  </w:t>
      </w:r>
      <w:r>
        <w:rPr>
          <w:sz w:val="28"/>
          <w:szCs w:val="28"/>
        </w:rPr>
        <w:t>Смидовичского</w:t>
      </w:r>
      <w:r w:rsidRPr="0047059D">
        <w:rPr>
          <w:sz w:val="28"/>
          <w:szCs w:val="28"/>
        </w:rPr>
        <w:t xml:space="preserve"> муниципального района» и размещается на официальном сайте администрации района.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2. Принципы взаимодействия органов местного самоуправления с субъектами предпринимательской и инвестиционной деятельности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2.1. Основным принципом инвестиционной политики района является взаимная ответственность органов местного самоуправления района и субъектов инвестиционной деятельности, а также сбалансированность интересов органов власти и субъектов инвестиционной деятельности.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2.2. Взаимодействие органов местного самоуправления с субъектами предпринимательской и инвестиционной деятельности осуществляется на основе следующих принципов: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равенство – не дискриминирующий подход ко всем субъектам предпринимательской и инвестиционной деятельности;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вовлечённость – участие субъектов предпринимательской и инвестиционной деятельности в процессе принятия решений органами местного самоуправления и оценки их реализации;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прозрачность – общедоступность документированной информации  о деятельности органов местного самоуправления;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лучшие практики – ориентация административных процедур и регулирования на лучшую с точки зрения интересов субъектов предпринимательской и инвестиционной деятельности, практику взаимодействия органов местного самоуправления с субъектами предпринимательской и инвестиционной деятельности.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2.3. Администрация района в соответствии с законодательством вступает в переговоры с субъектами инвестиционной и предпринимательской деятельности в случае возникновения обстоятельств, связанных с нарушением сроков и условий доступа к существующим формам государственной и муниципальной поддержки, а также в случае возникновения ситуаций, связанных с необоснованным отказом в предоставлении согласований, разрешений, решений и одобрений соответствующих органов, имеющих право выдавать такие согласования, разрешения, решения и одобрения.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2.4. Органы и структурные подразделения администрации района, взаимодействующие с субъектами инвестиционной и предпринимательской деятельности, в установленном законодательством порядке рассматривают их предложения, направленные на сокращение сроков и упрощение процедур, связанных с реализацией инвестиционных проектов и выдачей разрешительной документации.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2.5. Для воплощения в жизнь этих принципов администрация муниципального района: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создает режим благоприятствования для всех инвесторов;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обеспечивает свободный доступ к публичной информации, предоставляет информационную и консультационную помощь по вопросам, связанным с реализацией инвестиционных проектов;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обеспечивает каждому инвестору систему сопровождения инвестиционного проекта органами муниципальной власти на всех стадиях реализации инвестиционного проекта;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оказывает содействие при подготовке презентации инвестиционного проекта для представления его на общественных слушаниях и других мероприятиях, проводимых как на территории района, так и за его пределами;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стремится максимально сократить сроки административных процедур, в том числе выделения и оформления земельных участков, получения разрешений на строительство;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предоставляет муниципальную поддержку инвесторам в пределах своей компетенции и в соответствии с действующим законодательством;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предоставляет каждому инвестору возможность участвовать в формировании и реализации муниципальной инвестиционной политики через координационные и совещательные органы.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3. Основные направления инвестиционной политики района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3.1. Основными направлениями инвестиционной политики района являются: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формирование благоприятного инвестиционного климата на территории района;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создание условий для привлечения инвестиций на территорию района;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совершенствование муниципального нормативного правового регулирования в сфере инвестиционной деятельности в районе;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создание благоприятной административной среды и снижение административных барьеров для субъектов инвестиционной и предпринимательской деятельности;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содействие субъектам инвестиционной деятельности в реализации проектов, отвечающих приоритетным направлениям социально-экономического развития района;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формирование условий для мобилизации внутренних и увеличения притока внешних инвестиционных ресурсов, а также новых технологий в экономику района;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проведение аналитических и иных исследований, направленных на полное и достоверное освещение в средствах массовой информации инвестиционной привлекательности и инвестиционных рисков в районе;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предоставление консультационной, методической, имущественной и иной поддержки новым инвестиционным проектам.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3.2. Направления инвестиционной политики, определенные Инвестиционной декларацией, могут быть скорректированы с учётом изменений действующего законодательства.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4. Приоритетные направления инвестиционной деятельности на территории района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4.1. Выбор приоритетов создаёт условия системности и целостности осуществления инвестиционной деятельности. Отбор инвестиционных направлений базируется на следующих критериях: значимость, эффективность проекта, увеличение налоговых поступлений в бюджет в наиболее короткие сроки, создание новых рабочих мест, максимальное использование местных сырьевых ресурсов, соблюдение условий охраны окружающей среды.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4.2. Приоритетными направлениями инвестиционной и предпринимательской деятельности на территории района являются: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обрабатывающие отрасли промышленного производства (пищевая и перерабатывающая промышленность, строительство и производство строительных материалов и т.п.);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жилищно-коммунальный комплекс;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строительство, реконструкция, капитальный ремонт и эксплуатация объектов жилищного фонда и культурно-бытового назначения;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благоустройство территории района, сбор и переработка бытовых и промышленных отходов;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туристско-рекреационная сфера;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 сельское хозяйство и переработка сельскохозяйственной продукции;</w:t>
      </w:r>
    </w:p>
    <w:p w:rsidR="007B5D4C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деревообрабатывающее производство</w:t>
      </w:r>
      <w:r w:rsidR="007B5D4C">
        <w:rPr>
          <w:sz w:val="28"/>
          <w:szCs w:val="28"/>
        </w:rPr>
        <w:t>;</w:t>
      </w:r>
    </w:p>
    <w:p w:rsidR="007B5D4C" w:rsidRDefault="007B5D4C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гостиничный сервис;</w:t>
      </w:r>
    </w:p>
    <w:p w:rsidR="0047059D" w:rsidRPr="0047059D" w:rsidRDefault="007B5D4C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общественное питание</w:t>
      </w:r>
      <w:r w:rsidR="0047059D" w:rsidRPr="0047059D">
        <w:rPr>
          <w:sz w:val="28"/>
          <w:szCs w:val="28"/>
        </w:rPr>
        <w:t>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5. Гарантии района субъектам инвестиционной деятельности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5.1. Администрация района в соответствии с действующим законодательством Российской Федерации гарантирует всем субъектам инвестиционной деятельности обеспечение и защиту их прав и интересов, в том числе: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  обеспечение равных прав участников инвестиционного процесса при осуществлении инвестиционной деятельности;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участие субъектов инвестиционной деятельности в процессе принятия решений и оценке их реализации;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  доступ к публичной информации о деятельности органов местного самоуправления, гласность и открытость процедуры принятия решений о предоставлении муниципальной поддержки инвестиционной деятельности;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принятие административных процедур, ориентированных на результаты лучших практик взаимодействия между органами местного самоуправления и субъектами инвестиционной деятельности;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  безопасность ведения инвестиционной деятельности на территории района;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  невмешательство органом местного самоуправления и должностных лиц в административно-хозяйственную деятельность инвестора, заключение инвестором договоров (контрактов), выбор партнеров, подрядчиков, поставщиков и любых других контрагентов, определение обязательств;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 xml:space="preserve">- возможность обратиться к главе </w:t>
      </w:r>
      <w:r>
        <w:rPr>
          <w:sz w:val="28"/>
          <w:szCs w:val="28"/>
        </w:rPr>
        <w:t>Смидовичского</w:t>
      </w:r>
      <w:r w:rsidRPr="0047059D">
        <w:rPr>
          <w:sz w:val="28"/>
          <w:szCs w:val="28"/>
        </w:rPr>
        <w:t xml:space="preserve"> муниципального района, в том числе посредством информационно-телекоммуникационной сети Интернет, в целях оперативного решения возникающих в процессе инвестиционной деятельности вопросов, а также в случае возникновения обстоятельств, связанных с нарушением сроков и условий доступа к существующим механизмам поддержки и реализации инвестиционных проектов.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5.2. Администрация района своевременно рассматривает предложения субъектов инвестиционной деятельности, направленные на устранение административных барьеров, препятствующих реализации инвестиционных проектов, а также на совершенствование нормативной правовой базы района.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5.3. Администрация района в равной степени должна принимать меры по обеспечению благоприятного инвестиционного климата на территории района, в том числе учитывать положения Инвестиционной декларации при осуществлении правотворческой и правоприменительной деятельности.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6. Обязательства района по осуществлению мер, направленных на сокращение сроков и упрощение процедур выдачи разрешительной документации для инвесторов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 В целях обеспечения благоприятного инвестиционного климата в районе, создания открытой информационной среды для инвесторов и создания механизмов, обеспечивающих повышение инвестиционной привлекательности, администрация района планирует достижение следующих целей: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сокращение сроков проведения проверки и выдачи разрешения на строительство;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сокращение сроков осуществления подготовки и утверждения градостроительного плана земельного участка;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информационное обеспечение о структуре, инфраструктурной обеспеченности, концентрации трудовых, производственных и инфраструктурных ресурсов, необходимых для реализации инвестиционного проекта;</w:t>
      </w:r>
    </w:p>
    <w:p w:rsidR="0047059D" w:rsidRPr="0047059D" w:rsidRDefault="0047059D" w:rsidP="0037695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059D">
        <w:rPr>
          <w:sz w:val="28"/>
          <w:szCs w:val="28"/>
        </w:rPr>
        <w:t>- содействие в реализации проектов по инфраструктурной политике в пределах территорий, на которых реализуется инвестиционный проект (инвестиционных площадок).</w:t>
      </w:r>
    </w:p>
    <w:p w:rsidR="00C71FFD" w:rsidRPr="0047059D" w:rsidRDefault="00C71FFD" w:rsidP="003769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71FFD" w:rsidRPr="0047059D" w:rsidSect="00A615A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98D" w:rsidRDefault="0085098D" w:rsidP="00A615AA">
      <w:pPr>
        <w:spacing w:after="0" w:line="240" w:lineRule="auto"/>
      </w:pPr>
      <w:r>
        <w:separator/>
      </w:r>
    </w:p>
  </w:endnote>
  <w:endnote w:type="continuationSeparator" w:id="0">
    <w:p w:rsidR="0085098D" w:rsidRDefault="0085098D" w:rsidP="00A61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98D" w:rsidRDefault="0085098D" w:rsidP="00A615AA">
      <w:pPr>
        <w:spacing w:after="0" w:line="240" w:lineRule="auto"/>
      </w:pPr>
      <w:r>
        <w:separator/>
      </w:r>
    </w:p>
  </w:footnote>
  <w:footnote w:type="continuationSeparator" w:id="0">
    <w:p w:rsidR="0085098D" w:rsidRDefault="0085098D" w:rsidP="00A61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5AA" w:rsidRDefault="00A615AA">
    <w:pPr>
      <w:pStyle w:val="a4"/>
      <w:jc w:val="center"/>
    </w:pPr>
  </w:p>
  <w:p w:rsidR="00A615AA" w:rsidRDefault="00A615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59D"/>
    <w:rsid w:val="00376951"/>
    <w:rsid w:val="00385DF7"/>
    <w:rsid w:val="0047059D"/>
    <w:rsid w:val="007B0E06"/>
    <w:rsid w:val="007B5D4C"/>
    <w:rsid w:val="0085098D"/>
    <w:rsid w:val="00A615AA"/>
    <w:rsid w:val="00AD2F65"/>
    <w:rsid w:val="00B356A0"/>
    <w:rsid w:val="00B65A44"/>
    <w:rsid w:val="00C50D5B"/>
    <w:rsid w:val="00C71FFD"/>
    <w:rsid w:val="00C7382E"/>
    <w:rsid w:val="00F364F2"/>
    <w:rsid w:val="00F9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AC6D0-4CC5-4750-975E-09BE38BD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47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7059D"/>
    <w:rPr>
      <w:b/>
      <w:bCs/>
    </w:rPr>
  </w:style>
  <w:style w:type="paragraph" w:customStyle="1" w:styleId="rtejustify">
    <w:name w:val="rtejustify"/>
    <w:basedOn w:val="a"/>
    <w:rsid w:val="0047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61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15AA"/>
  </w:style>
  <w:style w:type="paragraph" w:styleId="a6">
    <w:name w:val="footer"/>
    <w:basedOn w:val="a"/>
    <w:link w:val="a7"/>
    <w:uiPriority w:val="99"/>
    <w:unhideWhenUsed/>
    <w:rsid w:val="00A61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5AA"/>
  </w:style>
  <w:style w:type="table" w:styleId="a8">
    <w:name w:val="Table Grid"/>
    <w:basedOn w:val="a1"/>
    <w:uiPriority w:val="59"/>
    <w:rsid w:val="00376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7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6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1776</Words>
  <Characters>10124</Characters>
  <Application>Microsoft Office Word</Application>
  <DocSecurity>4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ОИЗИ</cp:lastModifiedBy>
  <cp:revision>2</cp:revision>
  <cp:lastPrinted>2019-05-31T07:24:00Z</cp:lastPrinted>
  <dcterms:created xsi:type="dcterms:W3CDTF">2019-06-07T06:05:00Z</dcterms:created>
  <dcterms:modified xsi:type="dcterms:W3CDTF">2019-06-07T06:05:00Z</dcterms:modified>
</cp:coreProperties>
</file>