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2" w:rsidRDefault="00CB0E82" w:rsidP="00EE75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7520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E7125C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</w:t>
      </w:r>
      <w:r w:rsidR="00EE153E">
        <w:rPr>
          <w:rFonts w:ascii="Times New Roman" w:hAnsi="Times New Roman" w:cs="Times New Roman"/>
          <w:sz w:val="28"/>
          <w:szCs w:val="28"/>
        </w:rPr>
        <w:t>в</w:t>
      </w:r>
      <w:r w:rsidR="001662EB">
        <w:rPr>
          <w:rFonts w:ascii="Times New Roman" w:hAnsi="Times New Roman" w:cs="Times New Roman"/>
          <w:sz w:val="28"/>
          <w:szCs w:val="28"/>
        </w:rPr>
        <w:t xml:space="preserve"> </w:t>
      </w:r>
      <w:r w:rsidR="00867595">
        <w:rPr>
          <w:rFonts w:ascii="Times New Roman" w:hAnsi="Times New Roman" w:cs="Times New Roman"/>
          <w:sz w:val="28"/>
          <w:szCs w:val="28"/>
        </w:rPr>
        <w:t>201</w:t>
      </w:r>
      <w:r w:rsidR="001662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153E">
        <w:rPr>
          <w:rFonts w:ascii="Times New Roman" w:hAnsi="Times New Roman" w:cs="Times New Roman"/>
          <w:sz w:val="28"/>
          <w:szCs w:val="28"/>
        </w:rPr>
        <w:t>у</w:t>
      </w:r>
    </w:p>
    <w:p w:rsidR="00EE7520" w:rsidRPr="00CB0E82" w:rsidRDefault="00064EDF" w:rsidP="00EE75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A52" w:rsidRDefault="00735F36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5B">
        <w:rPr>
          <w:rFonts w:ascii="Times New Roman" w:hAnsi="Times New Roman" w:cs="Times New Roman"/>
          <w:sz w:val="28"/>
          <w:szCs w:val="28"/>
        </w:rPr>
        <w:t xml:space="preserve">В течение всего периода </w:t>
      </w:r>
      <w:r w:rsidR="00F66768">
        <w:rPr>
          <w:rFonts w:ascii="Times New Roman" w:hAnsi="Times New Roman" w:cs="Times New Roman"/>
          <w:sz w:val="28"/>
          <w:szCs w:val="28"/>
        </w:rPr>
        <w:t xml:space="preserve">2014 года на имя главы администрации Смидовичского муниципального района поступило </w:t>
      </w:r>
      <w:r w:rsidR="00C81E5B">
        <w:rPr>
          <w:rFonts w:ascii="Times New Roman" w:hAnsi="Times New Roman" w:cs="Times New Roman"/>
          <w:sz w:val="28"/>
          <w:szCs w:val="28"/>
        </w:rPr>
        <w:t>501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E5B">
        <w:rPr>
          <w:rFonts w:ascii="Times New Roman" w:hAnsi="Times New Roman" w:cs="Times New Roman"/>
          <w:sz w:val="28"/>
          <w:szCs w:val="28"/>
        </w:rPr>
        <w:t>е</w:t>
      </w:r>
      <w:r w:rsidR="00F66768">
        <w:rPr>
          <w:rFonts w:ascii="Times New Roman" w:hAnsi="Times New Roman" w:cs="Times New Roman"/>
          <w:sz w:val="28"/>
          <w:szCs w:val="28"/>
        </w:rPr>
        <w:t xml:space="preserve"> граждан, из них 34 обращения рассмотрено в ходе личного приёма, </w:t>
      </w:r>
      <w:r w:rsidR="00C81E5B">
        <w:rPr>
          <w:rFonts w:ascii="Times New Roman" w:hAnsi="Times New Roman" w:cs="Times New Roman"/>
          <w:sz w:val="28"/>
          <w:szCs w:val="28"/>
        </w:rPr>
        <w:t>288</w:t>
      </w:r>
      <w:r w:rsidR="00F6676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1E5B">
        <w:rPr>
          <w:rFonts w:ascii="Times New Roman" w:hAnsi="Times New Roman" w:cs="Times New Roman"/>
          <w:sz w:val="28"/>
          <w:szCs w:val="28"/>
        </w:rPr>
        <w:t>ов</w:t>
      </w:r>
      <w:r w:rsidR="00F66768">
        <w:rPr>
          <w:rFonts w:ascii="Times New Roman" w:hAnsi="Times New Roman" w:cs="Times New Roman"/>
          <w:sz w:val="28"/>
          <w:szCs w:val="28"/>
        </w:rPr>
        <w:t xml:space="preserve"> задано на выездных приёмах</w:t>
      </w:r>
      <w:r w:rsidR="00C81E5B">
        <w:rPr>
          <w:rFonts w:ascii="Times New Roman" w:hAnsi="Times New Roman" w:cs="Times New Roman"/>
          <w:sz w:val="28"/>
          <w:szCs w:val="28"/>
        </w:rPr>
        <w:t xml:space="preserve"> и встречах</w:t>
      </w:r>
      <w:r w:rsidR="00F66768">
        <w:rPr>
          <w:rFonts w:ascii="Times New Roman" w:hAnsi="Times New Roman" w:cs="Times New Roman"/>
          <w:sz w:val="28"/>
          <w:szCs w:val="28"/>
        </w:rPr>
        <w:t xml:space="preserve"> в населенных пунктах района и </w:t>
      </w:r>
      <w:r w:rsidR="00C81E5B">
        <w:rPr>
          <w:rFonts w:ascii="Times New Roman" w:hAnsi="Times New Roman" w:cs="Times New Roman"/>
          <w:sz w:val="28"/>
          <w:szCs w:val="28"/>
        </w:rPr>
        <w:t>179</w:t>
      </w:r>
      <w:r w:rsidR="00F66768">
        <w:rPr>
          <w:rFonts w:ascii="Times New Roman" w:hAnsi="Times New Roman" w:cs="Times New Roman"/>
          <w:sz w:val="28"/>
          <w:szCs w:val="28"/>
        </w:rPr>
        <w:t xml:space="preserve"> письменных обращений. Это на </w:t>
      </w:r>
      <w:r w:rsidR="00C81E5B">
        <w:rPr>
          <w:rFonts w:ascii="Times New Roman" w:hAnsi="Times New Roman" w:cs="Times New Roman"/>
          <w:sz w:val="28"/>
          <w:szCs w:val="28"/>
        </w:rPr>
        <w:t>29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81E5B">
        <w:rPr>
          <w:rFonts w:ascii="Times New Roman" w:hAnsi="Times New Roman" w:cs="Times New Roman"/>
          <w:sz w:val="28"/>
          <w:szCs w:val="28"/>
        </w:rPr>
        <w:t>больше</w:t>
      </w:r>
      <w:r w:rsidR="00F66768">
        <w:rPr>
          <w:rFonts w:ascii="Times New Roman" w:hAnsi="Times New Roman" w:cs="Times New Roman"/>
          <w:sz w:val="28"/>
          <w:szCs w:val="28"/>
        </w:rPr>
        <w:t xml:space="preserve">, чем за аналогичный период 2013 года (34 – в ходе личного приёма, </w:t>
      </w:r>
      <w:r w:rsidR="00C81E5B">
        <w:rPr>
          <w:rFonts w:ascii="Times New Roman" w:hAnsi="Times New Roman" w:cs="Times New Roman"/>
          <w:sz w:val="28"/>
          <w:szCs w:val="28"/>
        </w:rPr>
        <w:t>258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обращений – на выездных встречах с населением района и </w:t>
      </w:r>
      <w:r w:rsidR="00C81E5B">
        <w:rPr>
          <w:rFonts w:ascii="Times New Roman" w:hAnsi="Times New Roman" w:cs="Times New Roman"/>
          <w:sz w:val="28"/>
          <w:szCs w:val="28"/>
        </w:rPr>
        <w:t xml:space="preserve">180 </w:t>
      </w:r>
      <w:r w:rsidR="00F66768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81E5B">
        <w:rPr>
          <w:rFonts w:ascii="Times New Roman" w:hAnsi="Times New Roman" w:cs="Times New Roman"/>
          <w:sz w:val="28"/>
          <w:szCs w:val="28"/>
        </w:rPr>
        <w:t>ых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1E5B">
        <w:rPr>
          <w:rFonts w:ascii="Times New Roman" w:hAnsi="Times New Roman" w:cs="Times New Roman"/>
          <w:sz w:val="28"/>
          <w:szCs w:val="28"/>
        </w:rPr>
        <w:t>й</w:t>
      </w:r>
      <w:r w:rsidR="00F66768">
        <w:rPr>
          <w:rFonts w:ascii="Times New Roman" w:hAnsi="Times New Roman" w:cs="Times New Roman"/>
          <w:sz w:val="28"/>
          <w:szCs w:val="28"/>
        </w:rPr>
        <w:t>).</w:t>
      </w:r>
    </w:p>
    <w:p w:rsidR="00E77F46" w:rsidRDefault="00E77F46" w:rsidP="00E77F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F46" w:rsidRDefault="00E77F46" w:rsidP="00E77F46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письменных обращений</w:t>
      </w:r>
    </w:p>
    <w:p w:rsidR="00E77F46" w:rsidRDefault="00E77F46" w:rsidP="00E77F46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2012 - 2014 годы</w:t>
      </w:r>
    </w:p>
    <w:p w:rsidR="00CB0E82" w:rsidRDefault="00CB0E82" w:rsidP="00CB0E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F46" w:rsidRDefault="00E77F46" w:rsidP="00E77F46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04005" cy="1945640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608A" w:rsidRDefault="00DD608A" w:rsidP="00CB0E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E82" w:rsidRDefault="00CB0E82" w:rsidP="00CB0E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населенным пунктам почта распределяется следующим образом:</w:t>
      </w:r>
    </w:p>
    <w:p w:rsidR="00DD608A" w:rsidRDefault="00DD608A" w:rsidP="00CB0E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0E82" w:rsidRPr="00CB0E82" w:rsidRDefault="00CB0E82" w:rsidP="00CB0E82">
      <w:pPr>
        <w:tabs>
          <w:tab w:val="left" w:pos="0"/>
        </w:tabs>
        <w:spacing w:after="0"/>
        <w:jc w:val="center"/>
        <w:rPr>
          <w:rFonts w:ascii="Times New Roman" w:hAnsi="Times New Roman"/>
          <w:sz w:val="4"/>
          <w:szCs w:val="28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6"/>
        <w:gridCol w:w="1467"/>
        <w:gridCol w:w="1467"/>
      </w:tblGrid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</w:rPr>
              <w:t>2013 год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2014 год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3E6B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Смидовичско</w:t>
            </w:r>
            <w:r w:rsidR="003E6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B0E82" w:rsidRPr="00545809" w:rsidTr="00DD608A">
        <w:trPr>
          <w:trHeight w:val="498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Камышовское сельское поселение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регионы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CB0E82" w:rsidRPr="00545809" w:rsidTr="00DD608A">
        <w:trPr>
          <w:trHeight w:val="467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точного адреса,</w:t>
            </w:r>
            <w:r w:rsidR="003E6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Интернета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B0E82" w:rsidRPr="00545809" w:rsidTr="00DD608A">
        <w:trPr>
          <w:trHeight w:val="498"/>
        </w:trPr>
        <w:tc>
          <w:tcPr>
            <w:tcW w:w="6646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67" w:type="dxa"/>
          </w:tcPr>
          <w:p w:rsidR="00CB0E82" w:rsidRPr="00545809" w:rsidRDefault="00CB0E82" w:rsidP="00D04B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5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179</w:t>
            </w:r>
          </w:p>
        </w:tc>
      </w:tr>
    </w:tbl>
    <w:p w:rsidR="00CB0E82" w:rsidRDefault="00CB0E82" w:rsidP="00E77F46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07D5" w:rsidRDefault="00E77F46" w:rsidP="00DD60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F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19107" cy="1967024"/>
            <wp:effectExtent l="0" t="0" r="443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608A" w:rsidRDefault="00F0590E" w:rsidP="00DD60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8A" w:rsidRDefault="00DD608A" w:rsidP="00DD608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Коллективных обращений за весь период 2014 года уменьшилось на 18 по сравнению с аналогичным периодом прошлого года (2013 год – 39 обращений).</w:t>
      </w:r>
    </w:p>
    <w:p w:rsidR="002A31E7" w:rsidRDefault="002A31E7" w:rsidP="002A31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991" w:rsidRDefault="002A31E7" w:rsidP="007B02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539">
        <w:rPr>
          <w:rFonts w:ascii="Times New Roman" w:hAnsi="Times New Roman" w:cs="Times New Roman"/>
          <w:sz w:val="28"/>
          <w:szCs w:val="28"/>
        </w:rPr>
        <w:t xml:space="preserve">Сравнительный анализ поступивших </w:t>
      </w:r>
      <w:r w:rsidR="00502A4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C70539">
        <w:rPr>
          <w:rFonts w:ascii="Times New Roman" w:hAnsi="Times New Roman" w:cs="Times New Roman"/>
          <w:sz w:val="28"/>
          <w:szCs w:val="28"/>
        </w:rPr>
        <w:t>обращений по тематическим рубрикам отражен в таблице:</w:t>
      </w:r>
      <w:r w:rsidR="00C1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EA" w:rsidRPr="00CB0E82" w:rsidRDefault="008B1CEA" w:rsidP="00C11FCD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9502" w:type="dxa"/>
        <w:tblInd w:w="-176" w:type="dxa"/>
        <w:tblLayout w:type="fixed"/>
        <w:tblLook w:val="04A0"/>
      </w:tblPr>
      <w:tblGrid>
        <w:gridCol w:w="6124"/>
        <w:gridCol w:w="1477"/>
        <w:gridCol w:w="1901"/>
      </w:tblGrid>
      <w:tr w:rsidR="00DD608A" w:rsidTr="00DD608A">
        <w:trPr>
          <w:trHeight w:val="479"/>
        </w:trPr>
        <w:tc>
          <w:tcPr>
            <w:tcW w:w="6124" w:type="dxa"/>
            <w:vMerge w:val="restart"/>
            <w:vAlign w:val="center"/>
          </w:tcPr>
          <w:p w:rsidR="00DD608A" w:rsidRPr="004904A0" w:rsidRDefault="00DD608A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3378" w:type="dxa"/>
            <w:gridSpan w:val="2"/>
            <w:vAlign w:val="center"/>
          </w:tcPr>
          <w:p w:rsidR="00DD608A" w:rsidRPr="004904A0" w:rsidRDefault="00DD608A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DD608A" w:rsidTr="00DD608A">
        <w:trPr>
          <w:trHeight w:val="181"/>
        </w:trPr>
        <w:tc>
          <w:tcPr>
            <w:tcW w:w="6124" w:type="dxa"/>
            <w:vMerge/>
            <w:vAlign w:val="center"/>
          </w:tcPr>
          <w:p w:rsidR="00DD608A" w:rsidRPr="004904A0" w:rsidRDefault="00DD608A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DD608A" w:rsidRPr="004904A0" w:rsidRDefault="00DD608A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900" w:type="dxa"/>
            <w:vAlign w:val="center"/>
          </w:tcPr>
          <w:p w:rsidR="00DD608A" w:rsidRPr="004904A0" w:rsidRDefault="00DD608A" w:rsidP="004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DF11B5">
              <w:rPr>
                <w:rFonts w:ascii="Times New Roman" w:hAnsi="Times New Roman" w:cs="Times New Roman"/>
                <w:sz w:val="20"/>
                <w:szCs w:val="24"/>
              </w:rPr>
              <w:t>от общего количества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энергоснабжения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DD608A" w:rsidTr="00DD608A">
        <w:trPr>
          <w:trHeight w:val="356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социального обеспечения граждан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4904A0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начисления и перерасчета пенсии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присвоения звания «Ветеран труда»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477" w:type="dxa"/>
          </w:tcPr>
          <w:p w:rsidR="00DD608A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Default="00DD608A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77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:rsidR="00DD608A" w:rsidRPr="004904A0" w:rsidRDefault="00DD60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</w:tc>
      </w:tr>
      <w:tr w:rsidR="00DD608A" w:rsidTr="00DD608A">
        <w:trPr>
          <w:trHeight w:val="334"/>
        </w:trPr>
        <w:tc>
          <w:tcPr>
            <w:tcW w:w="6124" w:type="dxa"/>
          </w:tcPr>
          <w:p w:rsidR="00DD608A" w:rsidRPr="00311DD7" w:rsidRDefault="00DD608A" w:rsidP="00C11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7" w:type="dxa"/>
          </w:tcPr>
          <w:p w:rsidR="00DD608A" w:rsidRPr="00311DD7" w:rsidRDefault="00DD608A" w:rsidP="0045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900" w:type="dxa"/>
          </w:tcPr>
          <w:p w:rsidR="00DD608A" w:rsidRPr="00311DD7" w:rsidRDefault="00DD608A" w:rsidP="00C11F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F67" w:rsidRDefault="00552F67" w:rsidP="00552F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г. №59-ФЗ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направлены исполнителям в соответствии с резолюцией и указанием сроков исполнения.</w:t>
      </w:r>
      <w:r w:rsidRPr="0067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все направлены письменные исчерпывающие ответы, даны подробные разъяснения по всем интересующим вопросам. По обращениям, требующим дополнительной проверки, осуществляются выезды на место, для непосредственной встречи с заявителем и решением задач, </w:t>
      </w:r>
      <w:r w:rsidR="003E6B3A">
        <w:rPr>
          <w:rFonts w:ascii="Times New Roman" w:hAnsi="Times New Roman" w:cs="Times New Roman"/>
          <w:sz w:val="28"/>
          <w:szCs w:val="28"/>
        </w:rPr>
        <w:t>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в обращениях.</w:t>
      </w:r>
    </w:p>
    <w:p w:rsidR="00552F67" w:rsidRDefault="00552F67" w:rsidP="00552F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главой муниципального района проводятся выездные приёмы и выездные встречи с жителями сёл и посёлков района, на которых граждане могут лично обратиться со своей проблемой, задать вопрос главе района, его заместителям, руководителям структурных подразделений, а так же руководителям некоторых районных организаций. </w:t>
      </w:r>
    </w:p>
    <w:p w:rsidR="00D207F9" w:rsidRDefault="00E763C4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рассматриваются на аппаратных совещаниях</w:t>
      </w:r>
      <w:r w:rsidR="00D207F9">
        <w:rPr>
          <w:rFonts w:ascii="Times New Roman" w:hAnsi="Times New Roman" w:cs="Times New Roman"/>
          <w:sz w:val="28"/>
          <w:szCs w:val="28"/>
        </w:rPr>
        <w:t xml:space="preserve"> при главе муниципального района, еженедельно на планерное совещание при главе муниципального района предоставляется информация об исполнении сроков обращений граждан. </w:t>
      </w:r>
    </w:p>
    <w:p w:rsidR="00677AD7" w:rsidRDefault="00677AD7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AD7" w:rsidRDefault="00677AD7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7AD7" w:rsidSect="00C7505C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7E" w:rsidRDefault="00F1677E" w:rsidP="00C7505C">
      <w:pPr>
        <w:spacing w:after="0" w:line="240" w:lineRule="auto"/>
      </w:pPr>
      <w:r>
        <w:separator/>
      </w:r>
    </w:p>
  </w:endnote>
  <w:endnote w:type="continuationSeparator" w:id="1">
    <w:p w:rsidR="00F1677E" w:rsidRDefault="00F1677E" w:rsidP="00C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7E" w:rsidRDefault="00F1677E" w:rsidP="00C7505C">
      <w:pPr>
        <w:spacing w:after="0" w:line="240" w:lineRule="auto"/>
      </w:pPr>
      <w:r>
        <w:separator/>
      </w:r>
    </w:p>
  </w:footnote>
  <w:footnote w:type="continuationSeparator" w:id="1">
    <w:p w:rsidR="00F1677E" w:rsidRDefault="00F1677E" w:rsidP="00C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626"/>
      <w:docPartObj>
        <w:docPartGallery w:val="Page Numbers (Top of Page)"/>
        <w:docPartUnique/>
      </w:docPartObj>
    </w:sdtPr>
    <w:sdtContent>
      <w:p w:rsidR="00F0590E" w:rsidRDefault="00922540">
        <w:pPr>
          <w:pStyle w:val="a8"/>
          <w:jc w:val="center"/>
        </w:pPr>
        <w:fldSimple w:instr=" PAGE   \* MERGEFORMAT ">
          <w:r w:rsidR="00DF0C77">
            <w:rPr>
              <w:noProof/>
            </w:rPr>
            <w:t>2</w:t>
          </w:r>
        </w:fldSimple>
      </w:p>
    </w:sdtContent>
  </w:sdt>
  <w:p w:rsidR="00F0590E" w:rsidRDefault="00F059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E63"/>
    <w:rsid w:val="000019B5"/>
    <w:rsid w:val="00007131"/>
    <w:rsid w:val="00022802"/>
    <w:rsid w:val="00031157"/>
    <w:rsid w:val="00057FBB"/>
    <w:rsid w:val="00060370"/>
    <w:rsid w:val="00064D62"/>
    <w:rsid w:val="00064EDF"/>
    <w:rsid w:val="000668DC"/>
    <w:rsid w:val="00075207"/>
    <w:rsid w:val="00076DB8"/>
    <w:rsid w:val="00085E7E"/>
    <w:rsid w:val="00090AEB"/>
    <w:rsid w:val="00091ECC"/>
    <w:rsid w:val="000928A3"/>
    <w:rsid w:val="000C5E62"/>
    <w:rsid w:val="000D3849"/>
    <w:rsid w:val="000E3A04"/>
    <w:rsid w:val="000F13E9"/>
    <w:rsid w:val="00102F47"/>
    <w:rsid w:val="00106E82"/>
    <w:rsid w:val="00123AF4"/>
    <w:rsid w:val="00132420"/>
    <w:rsid w:val="001360CC"/>
    <w:rsid w:val="00144357"/>
    <w:rsid w:val="00147848"/>
    <w:rsid w:val="0015207D"/>
    <w:rsid w:val="00152BCB"/>
    <w:rsid w:val="00163139"/>
    <w:rsid w:val="001652AE"/>
    <w:rsid w:val="001662EB"/>
    <w:rsid w:val="0017795B"/>
    <w:rsid w:val="0018066B"/>
    <w:rsid w:val="00183D18"/>
    <w:rsid w:val="00183F15"/>
    <w:rsid w:val="001905C6"/>
    <w:rsid w:val="00192DEE"/>
    <w:rsid w:val="00195AE3"/>
    <w:rsid w:val="00196C76"/>
    <w:rsid w:val="001A0ED0"/>
    <w:rsid w:val="001B357C"/>
    <w:rsid w:val="001B5FC4"/>
    <w:rsid w:val="001C3BB5"/>
    <w:rsid w:val="001C4063"/>
    <w:rsid w:val="001C7DF1"/>
    <w:rsid w:val="001D46C0"/>
    <w:rsid w:val="001E3671"/>
    <w:rsid w:val="001E5DB1"/>
    <w:rsid w:val="001F6584"/>
    <w:rsid w:val="002114B8"/>
    <w:rsid w:val="00211853"/>
    <w:rsid w:val="0021479B"/>
    <w:rsid w:val="00217943"/>
    <w:rsid w:val="00224433"/>
    <w:rsid w:val="00235E36"/>
    <w:rsid w:val="002440AA"/>
    <w:rsid w:val="0025000B"/>
    <w:rsid w:val="00250978"/>
    <w:rsid w:val="0028098D"/>
    <w:rsid w:val="00297AE0"/>
    <w:rsid w:val="002A0D8C"/>
    <w:rsid w:val="002A31E7"/>
    <w:rsid w:val="002A3776"/>
    <w:rsid w:val="002B02A7"/>
    <w:rsid w:val="002C6BCE"/>
    <w:rsid w:val="002E0ABB"/>
    <w:rsid w:val="002F2C02"/>
    <w:rsid w:val="00302C9E"/>
    <w:rsid w:val="003041CE"/>
    <w:rsid w:val="00304A6F"/>
    <w:rsid w:val="00311DD7"/>
    <w:rsid w:val="003607D5"/>
    <w:rsid w:val="00367292"/>
    <w:rsid w:val="003749ED"/>
    <w:rsid w:val="00391003"/>
    <w:rsid w:val="00395469"/>
    <w:rsid w:val="00397A67"/>
    <w:rsid w:val="00397F09"/>
    <w:rsid w:val="003B2F7D"/>
    <w:rsid w:val="003C2EE3"/>
    <w:rsid w:val="003C44B2"/>
    <w:rsid w:val="003C55DB"/>
    <w:rsid w:val="003E05F9"/>
    <w:rsid w:val="003E14BE"/>
    <w:rsid w:val="003E6B3A"/>
    <w:rsid w:val="003E74A8"/>
    <w:rsid w:val="003F0E58"/>
    <w:rsid w:val="003F1A2E"/>
    <w:rsid w:val="003F26D1"/>
    <w:rsid w:val="003F7983"/>
    <w:rsid w:val="00400CEA"/>
    <w:rsid w:val="00401ABB"/>
    <w:rsid w:val="00405A71"/>
    <w:rsid w:val="00405D7F"/>
    <w:rsid w:val="00444655"/>
    <w:rsid w:val="00457248"/>
    <w:rsid w:val="00474F62"/>
    <w:rsid w:val="0047537B"/>
    <w:rsid w:val="00475F31"/>
    <w:rsid w:val="00480EC1"/>
    <w:rsid w:val="00482EA4"/>
    <w:rsid w:val="00484112"/>
    <w:rsid w:val="004904A0"/>
    <w:rsid w:val="00491E11"/>
    <w:rsid w:val="00494016"/>
    <w:rsid w:val="004B24C1"/>
    <w:rsid w:val="004C4258"/>
    <w:rsid w:val="004C62CA"/>
    <w:rsid w:val="004E3013"/>
    <w:rsid w:val="004E33FC"/>
    <w:rsid w:val="004E640F"/>
    <w:rsid w:val="004E76B8"/>
    <w:rsid w:val="004F52AF"/>
    <w:rsid w:val="004F5601"/>
    <w:rsid w:val="004F6160"/>
    <w:rsid w:val="00502A42"/>
    <w:rsid w:val="00503917"/>
    <w:rsid w:val="005040F8"/>
    <w:rsid w:val="0051461A"/>
    <w:rsid w:val="005203BB"/>
    <w:rsid w:val="00533064"/>
    <w:rsid w:val="00543F1C"/>
    <w:rsid w:val="00544555"/>
    <w:rsid w:val="00545809"/>
    <w:rsid w:val="00551032"/>
    <w:rsid w:val="00552E91"/>
    <w:rsid w:val="00552F67"/>
    <w:rsid w:val="00570166"/>
    <w:rsid w:val="00577266"/>
    <w:rsid w:val="00580708"/>
    <w:rsid w:val="005876CE"/>
    <w:rsid w:val="00591700"/>
    <w:rsid w:val="00594796"/>
    <w:rsid w:val="005A32D6"/>
    <w:rsid w:val="005B354A"/>
    <w:rsid w:val="005B41F5"/>
    <w:rsid w:val="005B4245"/>
    <w:rsid w:val="005B5B42"/>
    <w:rsid w:val="005C1B01"/>
    <w:rsid w:val="005C319E"/>
    <w:rsid w:val="005C5406"/>
    <w:rsid w:val="005D50F9"/>
    <w:rsid w:val="005D74A9"/>
    <w:rsid w:val="005D7DA9"/>
    <w:rsid w:val="005E49F1"/>
    <w:rsid w:val="005E4B2A"/>
    <w:rsid w:val="005F11D6"/>
    <w:rsid w:val="006055E6"/>
    <w:rsid w:val="006167D7"/>
    <w:rsid w:val="00617EF9"/>
    <w:rsid w:val="00620FD6"/>
    <w:rsid w:val="0062435D"/>
    <w:rsid w:val="00664568"/>
    <w:rsid w:val="00672E93"/>
    <w:rsid w:val="00677AD7"/>
    <w:rsid w:val="006909FD"/>
    <w:rsid w:val="006A481F"/>
    <w:rsid w:val="006A643F"/>
    <w:rsid w:val="006A7DAD"/>
    <w:rsid w:val="006B675A"/>
    <w:rsid w:val="006C4BCC"/>
    <w:rsid w:val="006D03A7"/>
    <w:rsid w:val="006D355C"/>
    <w:rsid w:val="006F2991"/>
    <w:rsid w:val="0070146D"/>
    <w:rsid w:val="007168C5"/>
    <w:rsid w:val="00721692"/>
    <w:rsid w:val="007224B5"/>
    <w:rsid w:val="00733076"/>
    <w:rsid w:val="00735F36"/>
    <w:rsid w:val="0074002B"/>
    <w:rsid w:val="00747A8B"/>
    <w:rsid w:val="00747E8E"/>
    <w:rsid w:val="00766FE4"/>
    <w:rsid w:val="00773D99"/>
    <w:rsid w:val="007839C2"/>
    <w:rsid w:val="00787AB9"/>
    <w:rsid w:val="007A6A49"/>
    <w:rsid w:val="007A7E18"/>
    <w:rsid w:val="007B0284"/>
    <w:rsid w:val="007B036A"/>
    <w:rsid w:val="007B130A"/>
    <w:rsid w:val="007B2CC3"/>
    <w:rsid w:val="007B577E"/>
    <w:rsid w:val="007B723E"/>
    <w:rsid w:val="007C0A52"/>
    <w:rsid w:val="007C0E63"/>
    <w:rsid w:val="007D3E92"/>
    <w:rsid w:val="007F4ED5"/>
    <w:rsid w:val="00800C14"/>
    <w:rsid w:val="00854FC6"/>
    <w:rsid w:val="008606E3"/>
    <w:rsid w:val="00866D4B"/>
    <w:rsid w:val="00867595"/>
    <w:rsid w:val="0087282A"/>
    <w:rsid w:val="00875C7E"/>
    <w:rsid w:val="00894A01"/>
    <w:rsid w:val="00895BA1"/>
    <w:rsid w:val="008A4351"/>
    <w:rsid w:val="008B1CEA"/>
    <w:rsid w:val="008C04C6"/>
    <w:rsid w:val="008C3CAA"/>
    <w:rsid w:val="008C44F8"/>
    <w:rsid w:val="008E437D"/>
    <w:rsid w:val="008E5E6D"/>
    <w:rsid w:val="008F76F5"/>
    <w:rsid w:val="00905C4A"/>
    <w:rsid w:val="0091190E"/>
    <w:rsid w:val="00922540"/>
    <w:rsid w:val="009303B4"/>
    <w:rsid w:val="0093423D"/>
    <w:rsid w:val="00942EA2"/>
    <w:rsid w:val="00943E48"/>
    <w:rsid w:val="009525CD"/>
    <w:rsid w:val="0096190E"/>
    <w:rsid w:val="00961E72"/>
    <w:rsid w:val="00964712"/>
    <w:rsid w:val="00966250"/>
    <w:rsid w:val="009945C8"/>
    <w:rsid w:val="00996811"/>
    <w:rsid w:val="009C0D13"/>
    <w:rsid w:val="009C20DD"/>
    <w:rsid w:val="009C6532"/>
    <w:rsid w:val="009D2276"/>
    <w:rsid w:val="009E3D9A"/>
    <w:rsid w:val="00A02E28"/>
    <w:rsid w:val="00A139FD"/>
    <w:rsid w:val="00A16A05"/>
    <w:rsid w:val="00A25F5E"/>
    <w:rsid w:val="00A309A1"/>
    <w:rsid w:val="00A32EFB"/>
    <w:rsid w:val="00A33A25"/>
    <w:rsid w:val="00A4326A"/>
    <w:rsid w:val="00A6646F"/>
    <w:rsid w:val="00A70FCC"/>
    <w:rsid w:val="00A96C1B"/>
    <w:rsid w:val="00A96FDF"/>
    <w:rsid w:val="00AA4D02"/>
    <w:rsid w:val="00AC25A2"/>
    <w:rsid w:val="00AD7560"/>
    <w:rsid w:val="00AE315A"/>
    <w:rsid w:val="00AE57A9"/>
    <w:rsid w:val="00B0425D"/>
    <w:rsid w:val="00B06E4D"/>
    <w:rsid w:val="00B1258E"/>
    <w:rsid w:val="00B126A6"/>
    <w:rsid w:val="00B17F85"/>
    <w:rsid w:val="00B25CA8"/>
    <w:rsid w:val="00B43703"/>
    <w:rsid w:val="00B56447"/>
    <w:rsid w:val="00B620DC"/>
    <w:rsid w:val="00B6280B"/>
    <w:rsid w:val="00B634BF"/>
    <w:rsid w:val="00B70F57"/>
    <w:rsid w:val="00B75466"/>
    <w:rsid w:val="00BA16BF"/>
    <w:rsid w:val="00BC1F05"/>
    <w:rsid w:val="00BC727D"/>
    <w:rsid w:val="00BD0BB8"/>
    <w:rsid w:val="00BD3BF0"/>
    <w:rsid w:val="00BD72D3"/>
    <w:rsid w:val="00BE09C6"/>
    <w:rsid w:val="00BF14BE"/>
    <w:rsid w:val="00C02C76"/>
    <w:rsid w:val="00C04531"/>
    <w:rsid w:val="00C11FCD"/>
    <w:rsid w:val="00C20D6A"/>
    <w:rsid w:val="00C3295A"/>
    <w:rsid w:val="00C363E2"/>
    <w:rsid w:val="00C70539"/>
    <w:rsid w:val="00C71542"/>
    <w:rsid w:val="00C7505C"/>
    <w:rsid w:val="00C75167"/>
    <w:rsid w:val="00C81E5B"/>
    <w:rsid w:val="00C95AE6"/>
    <w:rsid w:val="00C979E1"/>
    <w:rsid w:val="00CA1148"/>
    <w:rsid w:val="00CA4CC1"/>
    <w:rsid w:val="00CB0E82"/>
    <w:rsid w:val="00CB3479"/>
    <w:rsid w:val="00CC5A93"/>
    <w:rsid w:val="00CC6869"/>
    <w:rsid w:val="00CC6F5F"/>
    <w:rsid w:val="00CD5777"/>
    <w:rsid w:val="00CE10D8"/>
    <w:rsid w:val="00CE2037"/>
    <w:rsid w:val="00CE353F"/>
    <w:rsid w:val="00CE6F56"/>
    <w:rsid w:val="00CF3BB6"/>
    <w:rsid w:val="00CF4B5C"/>
    <w:rsid w:val="00D207F9"/>
    <w:rsid w:val="00D21700"/>
    <w:rsid w:val="00D55C74"/>
    <w:rsid w:val="00D55D8E"/>
    <w:rsid w:val="00D60309"/>
    <w:rsid w:val="00D60B3B"/>
    <w:rsid w:val="00D64B56"/>
    <w:rsid w:val="00D6542C"/>
    <w:rsid w:val="00D738CC"/>
    <w:rsid w:val="00D75499"/>
    <w:rsid w:val="00D82ADA"/>
    <w:rsid w:val="00D93A38"/>
    <w:rsid w:val="00DA6A70"/>
    <w:rsid w:val="00DB47D6"/>
    <w:rsid w:val="00DC2B48"/>
    <w:rsid w:val="00DD0B23"/>
    <w:rsid w:val="00DD3225"/>
    <w:rsid w:val="00DD608A"/>
    <w:rsid w:val="00DF0C77"/>
    <w:rsid w:val="00DF11B5"/>
    <w:rsid w:val="00DF23C0"/>
    <w:rsid w:val="00E1694B"/>
    <w:rsid w:val="00E22C11"/>
    <w:rsid w:val="00E466FF"/>
    <w:rsid w:val="00E46935"/>
    <w:rsid w:val="00E56894"/>
    <w:rsid w:val="00E5712F"/>
    <w:rsid w:val="00E7125C"/>
    <w:rsid w:val="00E72C6F"/>
    <w:rsid w:val="00E754E7"/>
    <w:rsid w:val="00E763C4"/>
    <w:rsid w:val="00E77D27"/>
    <w:rsid w:val="00E77F46"/>
    <w:rsid w:val="00E82109"/>
    <w:rsid w:val="00E847ED"/>
    <w:rsid w:val="00E870B6"/>
    <w:rsid w:val="00E95B01"/>
    <w:rsid w:val="00E97EB2"/>
    <w:rsid w:val="00EA0B97"/>
    <w:rsid w:val="00EB1A9B"/>
    <w:rsid w:val="00EE0533"/>
    <w:rsid w:val="00EE153E"/>
    <w:rsid w:val="00EE7520"/>
    <w:rsid w:val="00F01BF3"/>
    <w:rsid w:val="00F02CE9"/>
    <w:rsid w:val="00F0590E"/>
    <w:rsid w:val="00F12594"/>
    <w:rsid w:val="00F1677E"/>
    <w:rsid w:val="00F23B71"/>
    <w:rsid w:val="00F41906"/>
    <w:rsid w:val="00F46A41"/>
    <w:rsid w:val="00F503F7"/>
    <w:rsid w:val="00F60489"/>
    <w:rsid w:val="00F63A46"/>
    <w:rsid w:val="00F66768"/>
    <w:rsid w:val="00F73B36"/>
    <w:rsid w:val="00F82856"/>
    <w:rsid w:val="00F82F55"/>
    <w:rsid w:val="00F83929"/>
    <w:rsid w:val="00F86B1B"/>
    <w:rsid w:val="00F91860"/>
    <w:rsid w:val="00F91C5D"/>
    <w:rsid w:val="00FA7988"/>
    <w:rsid w:val="00FB281D"/>
    <w:rsid w:val="00FB2E3C"/>
    <w:rsid w:val="00FC169E"/>
    <w:rsid w:val="00FC1A12"/>
    <w:rsid w:val="00FC2454"/>
    <w:rsid w:val="00FC35F8"/>
    <w:rsid w:val="00FC522A"/>
    <w:rsid w:val="00FD5090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E"/>
  </w:style>
  <w:style w:type="paragraph" w:styleId="1">
    <w:name w:val="heading 1"/>
    <w:basedOn w:val="a"/>
    <w:next w:val="a"/>
    <w:link w:val="10"/>
    <w:uiPriority w:val="99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5C"/>
  </w:style>
  <w:style w:type="paragraph" w:styleId="aa">
    <w:name w:val="footer"/>
    <w:basedOn w:val="a"/>
    <w:link w:val="ab"/>
    <w:uiPriority w:val="99"/>
    <w:semiHidden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939393939393983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116</a:t>
                    </a:r>
                    <a:endParaRPr lang="en-US"/>
                  </a:p>
                </c:rich>
              </c:tx>
              <c:spPr>
                <a:noFill/>
                <a:ln w="25378">
                  <a:noFill/>
                </a:ln>
              </c:spPr>
              <c:dLblPos val="outEnd"/>
            </c:dLbl>
            <c:spPr>
              <a:noFill/>
              <a:ln w="25378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5.6979398749182457E-17"/>
                  <c:y val="0.38383838383838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180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179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</c:ser>
        <c:gapWidth val="95"/>
        <c:overlap val="-43"/>
        <c:axId val="63906176"/>
        <c:axId val="63910656"/>
      </c:barChart>
      <c:catAx>
        <c:axId val="63906176"/>
        <c:scaling>
          <c:orientation val="minMax"/>
        </c:scaling>
        <c:axPos val="b"/>
        <c:numFmt formatCode="General" sourceLinked="1"/>
        <c:tickLblPos val="nextTo"/>
        <c:crossAx val="63910656"/>
        <c:crosses val="autoZero"/>
        <c:auto val="1"/>
        <c:lblAlgn val="ctr"/>
        <c:lblOffset val="100"/>
      </c:catAx>
      <c:valAx>
        <c:axId val="63910656"/>
        <c:scaling>
          <c:orientation val="minMax"/>
        </c:scaling>
        <c:axPos val="l"/>
        <c:majorGridlines/>
        <c:numFmt formatCode="General" sourceLinked="1"/>
        <c:tickLblPos val="nextTo"/>
        <c:crossAx val="6390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35274110686517"/>
          <c:y val="0.12244841023237445"/>
          <c:w val="0.17518247981046209"/>
          <c:h val="0.8775515897676221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Обращения, поступившие в администрацию муниципального района за</a:t>
            </a:r>
            <a:r>
              <a:rPr lang="ru-RU" sz="1200" baseline="0"/>
              <a:t> </a:t>
            </a:r>
            <a:r>
              <a:rPr lang="ru-RU" sz="1200"/>
              <a:t>2014</a:t>
            </a:r>
            <a:r>
              <a:rPr lang="ru-RU" sz="1200" baseline="0"/>
              <a:t> </a:t>
            </a:r>
            <a:r>
              <a:rPr lang="ru-RU" sz="1200"/>
              <a:t>год</a:t>
            </a:r>
          </a:p>
        </c:rich>
      </c:tx>
      <c:layout>
        <c:manualLayout>
          <c:xMode val="edge"/>
          <c:yMode val="edge"/>
          <c:x val="0.1439205165111172"/>
          <c:y val="2.1929905532714743E-2"/>
        </c:manualLayout>
      </c:layout>
      <c:spPr>
        <a:noFill/>
        <a:ln w="2540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4.0983606557377074E-2"/>
          <c:y val="0.47826086956521896"/>
          <c:w val="0.57650273224043713"/>
          <c:h val="0.40579710144927539"/>
        </c:manualLayout>
      </c:layout>
      <c:pie3DChart>
        <c:varyColors val="1"/>
        <c:ser>
          <c:idx val="3"/>
          <c:order val="3"/>
          <c:tx>
            <c:strRef>
              <c:f>Sheet1!$A$2</c:f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howVal val="1"/>
            <c:showPercent val="1"/>
          </c:dLbls>
          <c:cat>
            <c:multiLvlStrRef>
              <c:f>Sheet1!$B$1:$C$1</c:f>
            </c:multiLvlStrRef>
          </c:cat>
          <c:val>
            <c:numRef>
              <c:f>Sheet1!$B$2:$C$2</c:f>
            </c:numRef>
          </c:val>
        </c:ser>
        <c:ser>
          <c:idx val="4"/>
          <c:order val="4"/>
          <c:tx>
            <c:strRef>
              <c:f>Sheet1!$A$3</c:f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howVal val="1"/>
            <c:showPercent val="1"/>
          </c:dLbls>
          <c:cat>
            <c:multiLvlStrRef>
              <c:f>Sheet1!$B$1:$C$1</c:f>
            </c:multiLvlStrRef>
          </c:cat>
          <c:val>
            <c:numRef>
              <c:f>Sheet1!$B$3:$C$3</c:f>
            </c:numRef>
          </c:val>
        </c:ser>
        <c:ser>
          <c:idx val="5"/>
          <c:order val="5"/>
          <c:tx>
            <c:strRef>
              <c:f>Sheet1!$A$4</c:f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dLbls>
            <c:showVal val="1"/>
            <c:showPercent val="1"/>
          </c:dLbls>
          <c:cat>
            <c:multiLvlStrRef>
              <c:f>Sheet1!$B$1:$C$1</c:f>
            </c:multiLvlStrRef>
          </c:cat>
          <c:val>
            <c:numRef>
              <c:f>Sheet1!$B$4:$C$4</c:f>
            </c:numRef>
          </c:val>
        </c:ser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F79646">
                  <a:lumMod val="75000"/>
                </a:srgbClr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387041886461244"/>
                  <c:y val="-0.22794228856296708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00" b="1" i="0" strike="noStrike">
                        <a:solidFill>
                          <a:srgbClr val="000000"/>
                        </a:solidFill>
                        <a:latin typeface="Bookman Old Style"/>
                      </a:rPr>
                      <a:t>158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00" b="1" i="0" strike="noStrike">
                        <a:solidFill>
                          <a:srgbClr val="000000"/>
                        </a:solidFill>
                        <a:latin typeface="Bookman Old Style"/>
                      </a:rPr>
                      <a:t>88,3%</a:t>
                    </a:r>
                  </a:p>
                </c:rich>
              </c:tx>
              <c:numFmt formatCode="0%" sourceLinked="0"/>
              <c:spPr>
                <a:noFill/>
                <a:ln w="25408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2506193006718491"/>
                  <c:y val="4.6481338234235304E-3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00" b="1" i="0" strike="noStrike">
                        <a:solidFill>
                          <a:srgbClr val="000000"/>
                        </a:solidFill>
                        <a:latin typeface="Bookman Old Style"/>
                      </a:rPr>
                      <a:t>21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00" b="1" i="0" strike="noStrike">
                        <a:solidFill>
                          <a:srgbClr val="000000"/>
                        </a:solidFill>
                        <a:latin typeface="Bookman Old Style"/>
                      </a:rPr>
                      <a:t>11,7%</a:t>
                    </a:r>
                  </a:p>
                </c:rich>
              </c:tx>
              <c:numFmt formatCode="0%" sourceLinked="0"/>
              <c:spPr>
                <a:noFill/>
                <a:ln w="25408">
                  <a:noFill/>
                </a:ln>
              </c:spPr>
              <c:dLblPos val="bestFit"/>
            </c:dLbl>
            <c:numFmt formatCode="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141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  <c:showPercent val="1"/>
          <c:separator>
</c:separator>
        </c:dLbls>
      </c:pie3DChart>
      <c:spPr>
        <a:solidFill>
          <a:srgbClr val="FFFFFF"/>
        </a:solidFill>
        <a:ln w="1269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60534376212165"/>
          <c:y val="0.48684205668037128"/>
          <c:w val="0.33746887834664119"/>
          <c:h val="0.36842102834018542"/>
        </c:manualLayout>
      </c:layout>
      <c:spPr>
        <a:solidFill>
          <a:srgbClr val="FFFFFF"/>
        </a:solidFill>
        <a:ln w="25395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6F7-5CE5-4C0A-BB26-6E2DCF4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2015-02-06T05:45:00Z</cp:lastPrinted>
  <dcterms:created xsi:type="dcterms:W3CDTF">2013-02-04T03:30:00Z</dcterms:created>
  <dcterms:modified xsi:type="dcterms:W3CDTF">2015-02-18T23:27:00Z</dcterms:modified>
</cp:coreProperties>
</file>